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71E7C" w14:textId="139DFED2" w:rsidR="009D5328" w:rsidRPr="001245F6" w:rsidRDefault="00D72A5B" w:rsidP="008A00C8">
      <w:pPr>
        <w:pStyle w:val="Title"/>
        <w:spacing w:before="100" w:beforeAutospacing="1" w:after="100" w:afterAutospacing="1"/>
      </w:pPr>
      <w:r>
        <w:t>Goulburn</w:t>
      </w:r>
    </w:p>
    <w:p w14:paraId="6193342F" w14:textId="4D0F4570" w:rsidR="00826A4F" w:rsidRPr="00AC35F6" w:rsidRDefault="009D5328" w:rsidP="008A00C8">
      <w:pPr>
        <w:pStyle w:val="Subtitle"/>
        <w:spacing w:before="100" w:beforeAutospacing="1" w:after="100" w:afterAutospacing="1"/>
        <w:rPr>
          <w:rFonts w:cs="Arial"/>
        </w:rPr>
      </w:pPr>
      <w:bookmarkStart w:id="0" w:name="_Toc104970165"/>
      <w:r w:rsidRPr="001245F6">
        <w:rPr>
          <w:rFonts w:cs="Arial"/>
        </w:rPr>
        <w:t>Regional Economic Development Strategy</w:t>
      </w:r>
      <w:bookmarkEnd w:id="0"/>
      <w:r w:rsidRPr="001245F6">
        <w:rPr>
          <w:rFonts w:cs="Arial"/>
        </w:rPr>
        <w:t xml:space="preserve"> – Summary </w:t>
      </w:r>
    </w:p>
    <w:p w14:paraId="1D8DA885" w14:textId="77777777" w:rsidR="00E70E24" w:rsidRDefault="00E70E24" w:rsidP="008A00C8">
      <w:pPr>
        <w:pStyle w:val="Subtitle"/>
        <w:spacing w:before="100" w:beforeAutospacing="1" w:after="100" w:afterAutospacing="1"/>
        <w:rPr>
          <w:rFonts w:cs="Arial"/>
        </w:rPr>
      </w:pPr>
      <w:bookmarkStart w:id="1" w:name="_Toc104970166"/>
      <w:r w:rsidRPr="001245F6">
        <w:rPr>
          <w:rFonts w:cs="Arial"/>
        </w:rPr>
        <w:t>State Government of Victoria</w:t>
      </w:r>
      <w:bookmarkEnd w:id="1"/>
    </w:p>
    <w:p w14:paraId="05D52B59" w14:textId="1912BC62" w:rsidR="00064FF3" w:rsidRPr="00241A94" w:rsidRDefault="00064FF3" w:rsidP="008A00C8">
      <w:pPr>
        <w:pStyle w:val="Subtitle"/>
        <w:spacing w:before="100" w:beforeAutospacing="1" w:after="100" w:afterAutospacing="1"/>
        <w:rPr>
          <w:b w:val="0"/>
          <w:bCs w:val="0"/>
          <w:sz w:val="24"/>
          <w:szCs w:val="24"/>
        </w:rPr>
      </w:pPr>
      <w:r w:rsidRPr="00241A94">
        <w:rPr>
          <w:b w:val="0"/>
          <w:bCs w:val="0"/>
          <w:sz w:val="24"/>
          <w:szCs w:val="24"/>
        </w:rPr>
        <w:t xml:space="preserve">The </w:t>
      </w:r>
      <w:r w:rsidR="00D72A5B">
        <w:rPr>
          <w:b w:val="0"/>
          <w:bCs w:val="0"/>
          <w:sz w:val="24"/>
          <w:szCs w:val="24"/>
        </w:rPr>
        <w:t>Goulburn</w:t>
      </w:r>
      <w:r w:rsidRPr="00241A94">
        <w:rPr>
          <w:b w:val="0"/>
          <w:bCs w:val="0"/>
          <w:sz w:val="24"/>
          <w:szCs w:val="24"/>
        </w:rPr>
        <w:t xml:space="preserve"> REDS uses data and evidence to profile the region’s economy and identify key strategic directions to drive economic growth.</w:t>
      </w:r>
    </w:p>
    <w:p w14:paraId="4C08731D" w14:textId="0DF0316B" w:rsidR="00F35DC3" w:rsidRDefault="00F35DC3" w:rsidP="008A00C8">
      <w:pPr>
        <w:pStyle w:val="Heading1"/>
        <w:spacing w:before="100" w:beforeAutospacing="1" w:after="100" w:afterAutospacing="1"/>
        <w:rPr>
          <w:rFonts w:ascii="Arial" w:hAnsi="Arial" w:cs="Arial"/>
          <w:b/>
          <w:bCs/>
          <w:color w:val="auto"/>
          <w:sz w:val="36"/>
          <w:szCs w:val="36"/>
        </w:rPr>
      </w:pPr>
      <w:r w:rsidRPr="0051145A">
        <w:rPr>
          <w:rFonts w:ascii="Arial" w:hAnsi="Arial" w:cs="Arial"/>
          <w:b/>
          <w:bCs/>
          <w:color w:val="auto"/>
          <w:sz w:val="36"/>
          <w:szCs w:val="36"/>
        </w:rPr>
        <w:t>Regional Profile</w:t>
      </w:r>
    </w:p>
    <w:p w14:paraId="62F61C4A" w14:textId="74C970FD" w:rsidR="00B815BC" w:rsidRPr="00670F30" w:rsidRDefault="00D72A5B" w:rsidP="008A00C8">
      <w:pPr>
        <w:pStyle w:val="Heading2"/>
        <w:spacing w:before="100" w:beforeAutospacing="1" w:after="100" w:afterAutospacing="1"/>
        <w:rPr>
          <w:rFonts w:ascii="Arial" w:eastAsia="MS Mincho" w:hAnsi="Arial" w:cs="Arial"/>
          <w:b/>
          <w:bCs/>
          <w:color w:val="auto"/>
          <w:sz w:val="32"/>
          <w:szCs w:val="32"/>
          <w:lang w:val="en-AU"/>
        </w:rPr>
      </w:pPr>
      <w:bookmarkStart w:id="2" w:name="_Hlk106115633"/>
      <w:r>
        <w:rPr>
          <w:rFonts w:ascii="Arial" w:eastAsia="MS Mincho" w:hAnsi="Arial" w:cs="Arial"/>
          <w:b/>
          <w:bCs/>
          <w:color w:val="auto"/>
          <w:sz w:val="32"/>
          <w:szCs w:val="32"/>
          <w:lang w:val="en-AU"/>
        </w:rPr>
        <w:t>Goulburn</w:t>
      </w:r>
      <w:r w:rsidR="00B815BC" w:rsidRPr="00670F30">
        <w:rPr>
          <w:rFonts w:ascii="Arial" w:eastAsia="MS Mincho" w:hAnsi="Arial" w:cs="Arial"/>
          <w:b/>
          <w:bCs/>
          <w:color w:val="auto"/>
          <w:sz w:val="32"/>
          <w:szCs w:val="32"/>
          <w:lang w:val="en-AU"/>
        </w:rPr>
        <w:t xml:space="preserve"> Regional Profile</w:t>
      </w:r>
      <w:bookmarkEnd w:id="2"/>
    </w:p>
    <w:tbl>
      <w:tblPr>
        <w:tblStyle w:val="TableGrid"/>
        <w:tblW w:w="7408" w:type="dxa"/>
        <w:tblLook w:val="04A0" w:firstRow="1" w:lastRow="0" w:firstColumn="1" w:lastColumn="0" w:noHBand="0" w:noVBand="1"/>
      </w:tblPr>
      <w:tblGrid>
        <w:gridCol w:w="3704"/>
        <w:gridCol w:w="3704"/>
      </w:tblGrid>
      <w:tr w:rsidR="006B4F43" w:rsidRPr="00206BCF" w14:paraId="61327294" w14:textId="77777777" w:rsidTr="006B4F43">
        <w:trPr>
          <w:trHeight w:val="221"/>
        </w:trPr>
        <w:tc>
          <w:tcPr>
            <w:tcW w:w="3704" w:type="dxa"/>
            <w:vAlign w:val="center"/>
          </w:tcPr>
          <w:p w14:paraId="7DFCC51D" w14:textId="486BDE41" w:rsidR="006B4F43" w:rsidRPr="00C22293" w:rsidRDefault="006B4F43" w:rsidP="006B4F43">
            <w:pPr>
              <w:pStyle w:val="TableCopy"/>
              <w:spacing w:before="100" w:beforeAutospacing="1" w:after="100" w:afterAutospacing="1"/>
            </w:pPr>
            <w:r w:rsidRPr="00206BCF">
              <w:t>Population (2020)</w:t>
            </w:r>
          </w:p>
        </w:tc>
        <w:tc>
          <w:tcPr>
            <w:tcW w:w="3704" w:type="dxa"/>
            <w:vAlign w:val="center"/>
          </w:tcPr>
          <w:p w14:paraId="453F8387" w14:textId="70761B28" w:rsidR="006B4F43" w:rsidRPr="00206BCF" w:rsidRDefault="006B4F43" w:rsidP="006B4F43">
            <w:pPr>
              <w:pStyle w:val="TableCopy"/>
              <w:spacing w:before="100" w:beforeAutospacing="1" w:after="100" w:afterAutospacing="1"/>
            </w:pPr>
            <w:r w:rsidRPr="00C22293">
              <w:t>170,400</w:t>
            </w:r>
          </w:p>
        </w:tc>
      </w:tr>
      <w:tr w:rsidR="006B4F43" w:rsidRPr="00206BCF" w14:paraId="41F4F6A6" w14:textId="77777777" w:rsidTr="006B4F43">
        <w:trPr>
          <w:trHeight w:val="337"/>
        </w:trPr>
        <w:tc>
          <w:tcPr>
            <w:tcW w:w="3704" w:type="dxa"/>
            <w:vAlign w:val="center"/>
          </w:tcPr>
          <w:p w14:paraId="5C0493A3" w14:textId="6D3A50DB" w:rsidR="006B4F43" w:rsidRPr="002E32E1" w:rsidRDefault="006B4F43" w:rsidP="006B4F43">
            <w:pPr>
              <w:pStyle w:val="TableCopy"/>
              <w:spacing w:before="100" w:beforeAutospacing="1" w:after="100" w:afterAutospacing="1"/>
            </w:pPr>
            <w:r w:rsidRPr="00206BCF">
              <w:t>Population growth (2011-20)</w:t>
            </w:r>
          </w:p>
        </w:tc>
        <w:tc>
          <w:tcPr>
            <w:tcW w:w="3704" w:type="dxa"/>
            <w:vAlign w:val="center"/>
          </w:tcPr>
          <w:p w14:paraId="6762877B" w14:textId="3386F8D3" w:rsidR="006B4F43" w:rsidRPr="00206BCF" w:rsidRDefault="006B4F43" w:rsidP="006B4F43">
            <w:pPr>
              <w:pStyle w:val="TableCopy"/>
              <w:spacing w:before="100" w:beforeAutospacing="1" w:after="100" w:afterAutospacing="1"/>
            </w:pPr>
            <w:r w:rsidRPr="002E32E1">
              <w:t>15.0%</w:t>
            </w:r>
          </w:p>
        </w:tc>
      </w:tr>
      <w:tr w:rsidR="006B4F43" w:rsidRPr="00206BCF" w14:paraId="3928B135" w14:textId="77777777" w:rsidTr="006B4F43">
        <w:trPr>
          <w:trHeight w:val="221"/>
        </w:trPr>
        <w:tc>
          <w:tcPr>
            <w:tcW w:w="3704" w:type="dxa"/>
            <w:vAlign w:val="center"/>
          </w:tcPr>
          <w:p w14:paraId="4B544D10" w14:textId="713CDB50" w:rsidR="006B4F43" w:rsidRPr="002E32E1" w:rsidRDefault="006B4F43" w:rsidP="006B4F43">
            <w:pPr>
              <w:pStyle w:val="TableCopy"/>
              <w:spacing w:before="100" w:beforeAutospacing="1" w:after="100" w:afterAutospacing="1"/>
            </w:pPr>
            <w:r w:rsidRPr="00206BCF">
              <w:t>Gross regional product (2020)</w:t>
            </w:r>
          </w:p>
        </w:tc>
        <w:tc>
          <w:tcPr>
            <w:tcW w:w="3704" w:type="dxa"/>
            <w:vAlign w:val="center"/>
          </w:tcPr>
          <w:p w14:paraId="0CD69990" w14:textId="3D85A694" w:rsidR="006B4F43" w:rsidRPr="00206BCF" w:rsidRDefault="006B4F43" w:rsidP="006B4F43">
            <w:pPr>
              <w:pStyle w:val="TableCopy"/>
              <w:spacing w:before="100" w:beforeAutospacing="1" w:after="100" w:afterAutospacing="1"/>
            </w:pPr>
            <w:r w:rsidRPr="002E32E1">
              <w:t>$8.0B</w:t>
            </w:r>
          </w:p>
        </w:tc>
      </w:tr>
    </w:tbl>
    <w:p w14:paraId="0731A137" w14:textId="227DBB18" w:rsidR="00421CBF" w:rsidRPr="00A039B4" w:rsidRDefault="00421CBF" w:rsidP="008A00C8">
      <w:pPr>
        <w:spacing w:before="100" w:beforeAutospacing="1" w:after="100" w:afterAutospacing="1"/>
        <w:rPr>
          <w:rFonts w:ascii="Arial" w:hAnsi="Arial" w:cs="Arial"/>
          <w:b/>
          <w:bCs/>
          <w:sz w:val="24"/>
          <w:szCs w:val="24"/>
        </w:rPr>
      </w:pPr>
      <w:r w:rsidRPr="00A039B4">
        <w:rPr>
          <w:rFonts w:ascii="Arial" w:hAnsi="Arial" w:cs="Arial"/>
          <w:b/>
          <w:bCs/>
          <w:sz w:val="24"/>
          <w:szCs w:val="24"/>
        </w:rPr>
        <w:t>Figure</w:t>
      </w:r>
      <w:r w:rsidR="003E29EB">
        <w:rPr>
          <w:rFonts w:ascii="Arial" w:hAnsi="Arial" w:cs="Arial"/>
          <w:b/>
          <w:bCs/>
          <w:sz w:val="24"/>
          <w:szCs w:val="24"/>
        </w:rPr>
        <w:t xml:space="preserve"> 1</w:t>
      </w:r>
      <w:r w:rsidRPr="00A039B4">
        <w:rPr>
          <w:rFonts w:ascii="Arial" w:hAnsi="Arial" w:cs="Arial"/>
          <w:b/>
          <w:bCs/>
          <w:sz w:val="24"/>
          <w:szCs w:val="24"/>
        </w:rPr>
        <w:t xml:space="preserve">: Map of </w:t>
      </w:r>
      <w:r w:rsidR="00D72A5B">
        <w:rPr>
          <w:rFonts w:ascii="Arial" w:hAnsi="Arial" w:cs="Arial"/>
          <w:b/>
          <w:bCs/>
          <w:sz w:val="24"/>
          <w:szCs w:val="24"/>
        </w:rPr>
        <w:t>Goulburn</w:t>
      </w:r>
    </w:p>
    <w:p w14:paraId="210775E8" w14:textId="024E5922" w:rsidR="00B74E41" w:rsidRDefault="005D5CAA" w:rsidP="008A00C8">
      <w:pPr>
        <w:spacing w:before="100" w:beforeAutospacing="1" w:after="100" w:afterAutospacing="1"/>
        <w:rPr>
          <w:noProof/>
        </w:rPr>
      </w:pPr>
      <w:r>
        <w:rPr>
          <w:noProof/>
        </w:rPr>
        <w:drawing>
          <wp:inline distT="0" distB="0" distL="0" distR="0" wp14:anchorId="12BE264D" wp14:editId="333D82F3">
            <wp:extent cx="2494809" cy="2527926"/>
            <wp:effectExtent l="0" t="0" r="1270" b="6350"/>
            <wp:docPr id="1" name="Picture 1" descr="Map showing an overview of the Goulburn Regional Partnership region and its location in Victoria. The Goulburn region is made up of the Moira, Greater Shepparton, Strathbogie, Mitchell and Murrindindi Local Government Are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 showing an overview of the Goulburn Regional Partnership region and its location in Victoria. The Goulburn region is made up of the Moira, Greater Shepparton, Strathbogie, Mitchell and Murrindindi Local Government Areas. "/>
                    <pic:cNvPicPr/>
                  </pic:nvPicPr>
                  <pic:blipFill>
                    <a:blip r:embed="rId10">
                      <a:extLst>
                        <a:ext uri="{28A0092B-C50C-407E-A947-70E740481C1C}">
                          <a14:useLocalDpi xmlns:a14="http://schemas.microsoft.com/office/drawing/2010/main" val="0"/>
                        </a:ext>
                      </a:extLst>
                    </a:blip>
                    <a:stretch>
                      <a:fillRect/>
                    </a:stretch>
                  </pic:blipFill>
                  <pic:spPr>
                    <a:xfrm>
                      <a:off x="0" y="0"/>
                      <a:ext cx="2494809" cy="2527926"/>
                    </a:xfrm>
                    <a:prstGeom prst="rect">
                      <a:avLst/>
                    </a:prstGeom>
                  </pic:spPr>
                </pic:pic>
              </a:graphicData>
            </a:graphic>
          </wp:inline>
        </w:drawing>
      </w:r>
    </w:p>
    <w:p w14:paraId="6341A957" w14:textId="2084C0BA" w:rsidR="00240C90" w:rsidRPr="00670F30" w:rsidRDefault="00240C90" w:rsidP="008A00C8">
      <w:pPr>
        <w:pStyle w:val="Heading2"/>
        <w:spacing w:before="100" w:beforeAutospacing="1" w:after="100" w:afterAutospacing="1"/>
        <w:rPr>
          <w:rFonts w:ascii="Arial" w:eastAsia="MS Mincho" w:hAnsi="Arial" w:cs="Arial"/>
          <w:b/>
          <w:bCs/>
          <w:color w:val="auto"/>
          <w:sz w:val="32"/>
          <w:szCs w:val="32"/>
          <w:lang w:val="en-AU"/>
        </w:rPr>
      </w:pPr>
      <w:r w:rsidRPr="00670F30">
        <w:rPr>
          <w:rFonts w:ascii="Arial" w:eastAsia="MS Mincho" w:hAnsi="Arial" w:cs="Arial"/>
          <w:b/>
          <w:bCs/>
          <w:color w:val="auto"/>
          <w:sz w:val="32"/>
          <w:szCs w:val="32"/>
          <w:lang w:val="en-AU"/>
        </w:rPr>
        <w:lastRenderedPageBreak/>
        <w:t>Employment</w:t>
      </w:r>
    </w:p>
    <w:tbl>
      <w:tblPr>
        <w:tblStyle w:val="TableGrid"/>
        <w:tblW w:w="8624" w:type="dxa"/>
        <w:tblLook w:val="04A0" w:firstRow="1" w:lastRow="0" w:firstColumn="1" w:lastColumn="0" w:noHBand="0" w:noVBand="1"/>
      </w:tblPr>
      <w:tblGrid>
        <w:gridCol w:w="4312"/>
        <w:gridCol w:w="4312"/>
      </w:tblGrid>
      <w:tr w:rsidR="00C349FB" w:rsidRPr="00DD7BBC" w14:paraId="2AAD8B5A" w14:textId="77777777" w:rsidTr="00C349FB">
        <w:trPr>
          <w:trHeight w:val="494"/>
          <w:tblHeader/>
        </w:trPr>
        <w:tc>
          <w:tcPr>
            <w:tcW w:w="4312" w:type="dxa"/>
          </w:tcPr>
          <w:p w14:paraId="1E319CAE" w14:textId="45C84252" w:rsidR="00C349FB" w:rsidRPr="00DD7BBC" w:rsidRDefault="00C349FB" w:rsidP="008A00C8">
            <w:pPr>
              <w:pStyle w:val="TableCopy"/>
              <w:tabs>
                <w:tab w:val="right" w:pos="2619"/>
              </w:tabs>
              <w:spacing w:before="100" w:beforeAutospacing="1" w:after="100" w:afterAutospacing="1"/>
              <w:rPr>
                <w:b/>
                <w:bCs/>
              </w:rPr>
            </w:pPr>
            <w:r w:rsidRPr="00DD7BBC">
              <w:rPr>
                <w:b/>
                <w:bCs/>
              </w:rPr>
              <w:t>Unemployment rate (</w:t>
            </w:r>
            <w:r>
              <w:rPr>
                <w:b/>
                <w:bCs/>
              </w:rPr>
              <w:t>September</w:t>
            </w:r>
            <w:r w:rsidRPr="00DD7BBC">
              <w:rPr>
                <w:b/>
                <w:bCs/>
              </w:rPr>
              <w:t xml:space="preserve"> 2021)</w:t>
            </w:r>
          </w:p>
        </w:tc>
        <w:tc>
          <w:tcPr>
            <w:tcW w:w="4312" w:type="dxa"/>
          </w:tcPr>
          <w:p w14:paraId="749246A8" w14:textId="77777777" w:rsidR="00C349FB" w:rsidRPr="00DD7BBC" w:rsidRDefault="00C349FB" w:rsidP="008A00C8">
            <w:pPr>
              <w:pStyle w:val="TableCopy"/>
              <w:spacing w:before="100" w:beforeAutospacing="1" w:after="100" w:afterAutospacing="1"/>
              <w:rPr>
                <w:b/>
                <w:bCs/>
              </w:rPr>
            </w:pPr>
            <w:r w:rsidRPr="00DD7BBC">
              <w:rPr>
                <w:b/>
                <w:bCs/>
              </w:rPr>
              <w:t>Average annual employment growth (2011</w:t>
            </w:r>
            <w:r>
              <w:rPr>
                <w:b/>
                <w:bCs/>
              </w:rPr>
              <w:t>–</w:t>
            </w:r>
            <w:r w:rsidRPr="00DD7BBC">
              <w:rPr>
                <w:b/>
                <w:bCs/>
              </w:rPr>
              <w:t>20)</w:t>
            </w:r>
          </w:p>
        </w:tc>
      </w:tr>
      <w:tr w:rsidR="00C349FB" w:rsidRPr="00E70028" w14:paraId="6BCBB8DB" w14:textId="77777777" w:rsidTr="00C349FB">
        <w:trPr>
          <w:trHeight w:val="1090"/>
        </w:trPr>
        <w:tc>
          <w:tcPr>
            <w:tcW w:w="4312" w:type="dxa"/>
          </w:tcPr>
          <w:p w14:paraId="5EC7B9F6" w14:textId="001DD567" w:rsidR="00C349FB" w:rsidRPr="00E70028" w:rsidRDefault="00D72A5B" w:rsidP="008A00C8">
            <w:pPr>
              <w:pStyle w:val="TableCopy"/>
              <w:spacing w:before="100" w:beforeAutospacing="1" w:after="100" w:afterAutospacing="1"/>
            </w:pPr>
            <w:r>
              <w:t>Goulburn</w:t>
            </w:r>
            <w:r w:rsidR="00C349FB" w:rsidRPr="00E70028">
              <w:t xml:space="preserve">: </w:t>
            </w:r>
            <w:r w:rsidR="00EB1754">
              <w:t>4.0</w:t>
            </w:r>
            <w:r w:rsidR="00F56B94">
              <w:t>%</w:t>
            </w:r>
          </w:p>
          <w:p w14:paraId="2F35EA09" w14:textId="77777777" w:rsidR="00C349FB" w:rsidRPr="00E70028" w:rsidRDefault="00C349FB" w:rsidP="008A00C8">
            <w:pPr>
              <w:pStyle w:val="TableCopy"/>
              <w:spacing w:before="100" w:beforeAutospacing="1" w:after="100" w:afterAutospacing="1"/>
            </w:pPr>
            <w:r w:rsidRPr="00E70028">
              <w:t>Regional average: 4.</w:t>
            </w:r>
            <w:r>
              <w:t>2</w:t>
            </w:r>
            <w:r w:rsidRPr="00E70028">
              <w:t>%</w:t>
            </w:r>
          </w:p>
          <w:p w14:paraId="426022AD" w14:textId="77777777" w:rsidR="00C349FB" w:rsidRPr="00E70028" w:rsidRDefault="00C349FB" w:rsidP="008A00C8">
            <w:pPr>
              <w:pStyle w:val="TableCopy"/>
              <w:spacing w:before="100" w:beforeAutospacing="1" w:after="100" w:afterAutospacing="1"/>
            </w:pPr>
            <w:r w:rsidRPr="00E70028">
              <w:t xml:space="preserve">Metropolitan Melbourne: </w:t>
            </w:r>
            <w:r>
              <w:t>6.0</w:t>
            </w:r>
            <w:r w:rsidRPr="00E70028">
              <w:t>%</w:t>
            </w:r>
          </w:p>
        </w:tc>
        <w:tc>
          <w:tcPr>
            <w:tcW w:w="4312" w:type="dxa"/>
          </w:tcPr>
          <w:p w14:paraId="7931D9A7" w14:textId="70126BF1" w:rsidR="00C349FB" w:rsidRPr="00E70028" w:rsidRDefault="00D72A5B" w:rsidP="008A00C8">
            <w:pPr>
              <w:pStyle w:val="TableCopy"/>
              <w:spacing w:before="100" w:beforeAutospacing="1" w:after="100" w:afterAutospacing="1"/>
            </w:pPr>
            <w:r>
              <w:t>Goulburn</w:t>
            </w:r>
            <w:r w:rsidR="00C349FB" w:rsidRPr="00E70028">
              <w:t xml:space="preserve">: </w:t>
            </w:r>
            <w:r w:rsidR="00EB1754">
              <w:t>1.3</w:t>
            </w:r>
            <w:r w:rsidR="00542B83">
              <w:t>%</w:t>
            </w:r>
          </w:p>
          <w:p w14:paraId="0877CED6" w14:textId="77777777" w:rsidR="00C349FB" w:rsidRPr="00E70028" w:rsidRDefault="00C349FB" w:rsidP="008A00C8">
            <w:pPr>
              <w:pStyle w:val="TableCopy"/>
              <w:spacing w:before="100" w:beforeAutospacing="1" w:after="100" w:afterAutospacing="1"/>
            </w:pPr>
            <w:r w:rsidRPr="00E70028">
              <w:t>Regional average: 1.0%</w:t>
            </w:r>
          </w:p>
          <w:p w14:paraId="7746A242" w14:textId="77777777" w:rsidR="00C349FB" w:rsidRPr="00E70028" w:rsidRDefault="00C349FB" w:rsidP="008A00C8">
            <w:pPr>
              <w:pStyle w:val="TableCopy"/>
              <w:spacing w:before="100" w:beforeAutospacing="1" w:after="100" w:afterAutospacing="1"/>
            </w:pPr>
            <w:r w:rsidRPr="00E70028">
              <w:t>Metropolitan Melbourne: 2.1%</w:t>
            </w:r>
          </w:p>
        </w:tc>
      </w:tr>
    </w:tbl>
    <w:p w14:paraId="4D41AF5C" w14:textId="77B15153" w:rsidR="00240C90" w:rsidRPr="00670F30" w:rsidRDefault="00240C90" w:rsidP="008A00C8">
      <w:pPr>
        <w:pStyle w:val="Heading2"/>
        <w:spacing w:before="100" w:beforeAutospacing="1" w:after="100" w:afterAutospacing="1"/>
        <w:rPr>
          <w:rFonts w:ascii="Arial" w:eastAsia="MS Mincho" w:hAnsi="Arial" w:cs="Arial"/>
          <w:b/>
          <w:bCs/>
          <w:color w:val="auto"/>
          <w:sz w:val="32"/>
          <w:szCs w:val="32"/>
          <w:lang w:val="en-AU"/>
        </w:rPr>
      </w:pPr>
      <w:r w:rsidRPr="00670F30">
        <w:rPr>
          <w:rFonts w:ascii="Arial" w:eastAsia="MS Mincho" w:hAnsi="Arial" w:cs="Arial"/>
          <w:b/>
          <w:bCs/>
          <w:color w:val="auto"/>
          <w:sz w:val="32"/>
          <w:szCs w:val="32"/>
          <w:lang w:val="en-AU"/>
        </w:rPr>
        <w:t xml:space="preserve">Top </w:t>
      </w:r>
      <w:r w:rsidR="00C349FB" w:rsidRPr="00670F30">
        <w:rPr>
          <w:rFonts w:ascii="Arial" w:eastAsia="MS Mincho" w:hAnsi="Arial" w:cs="Arial"/>
          <w:b/>
          <w:bCs/>
          <w:color w:val="auto"/>
          <w:sz w:val="32"/>
          <w:szCs w:val="32"/>
          <w:lang w:val="en-AU"/>
        </w:rPr>
        <w:t>employing sectors (2020)</w:t>
      </w:r>
    </w:p>
    <w:tbl>
      <w:tblPr>
        <w:tblStyle w:val="TableGrid"/>
        <w:tblW w:w="9343" w:type="dxa"/>
        <w:tblLook w:val="04A0" w:firstRow="1" w:lastRow="0" w:firstColumn="1" w:lastColumn="0" w:noHBand="0" w:noVBand="1"/>
      </w:tblPr>
      <w:tblGrid>
        <w:gridCol w:w="6675"/>
        <w:gridCol w:w="2668"/>
      </w:tblGrid>
      <w:tr w:rsidR="009E373C" w:rsidRPr="0055442F" w14:paraId="1FB09F46" w14:textId="77777777" w:rsidTr="00ED2699">
        <w:tc>
          <w:tcPr>
            <w:tcW w:w="4248" w:type="dxa"/>
            <w:noWrap/>
            <w:hideMark/>
          </w:tcPr>
          <w:p w14:paraId="7910A203" w14:textId="77777777" w:rsidR="009E373C" w:rsidRPr="0055442F" w:rsidRDefault="009E373C" w:rsidP="008A00C8">
            <w:pPr>
              <w:pStyle w:val="TableCopy"/>
              <w:spacing w:before="100" w:beforeAutospacing="1" w:after="100" w:afterAutospacing="1"/>
              <w:rPr>
                <w:b/>
                <w:bCs/>
              </w:rPr>
            </w:pPr>
            <w:r w:rsidRPr="0055442F">
              <w:rPr>
                <w:b/>
                <w:bCs/>
              </w:rPr>
              <w:t>Industry</w:t>
            </w:r>
          </w:p>
        </w:tc>
        <w:tc>
          <w:tcPr>
            <w:tcW w:w="1698" w:type="dxa"/>
          </w:tcPr>
          <w:p w14:paraId="0E243FCF" w14:textId="77777777" w:rsidR="009E373C" w:rsidRPr="0055442F" w:rsidRDefault="009E373C" w:rsidP="008A00C8">
            <w:pPr>
              <w:pStyle w:val="TableCopy"/>
              <w:spacing w:before="100" w:beforeAutospacing="1" w:after="100" w:afterAutospacing="1"/>
              <w:rPr>
                <w:b/>
                <w:bCs/>
              </w:rPr>
            </w:pPr>
            <w:r w:rsidRPr="0055442F">
              <w:rPr>
                <w:b/>
                <w:bCs/>
              </w:rPr>
              <w:t>Workers</w:t>
            </w:r>
          </w:p>
        </w:tc>
      </w:tr>
      <w:tr w:rsidR="009E373C" w:rsidRPr="00395E30" w14:paraId="782577B5" w14:textId="77777777" w:rsidTr="00ED2699">
        <w:tc>
          <w:tcPr>
            <w:tcW w:w="4248" w:type="dxa"/>
          </w:tcPr>
          <w:p w14:paraId="55DB0750" w14:textId="1F7A36FD" w:rsidR="009E373C" w:rsidRPr="00395E30" w:rsidRDefault="00016785" w:rsidP="008A00C8">
            <w:pPr>
              <w:pStyle w:val="TableCopy"/>
              <w:spacing w:before="100" w:beforeAutospacing="1" w:after="100" w:afterAutospacing="1"/>
            </w:pPr>
            <w:r>
              <w:t xml:space="preserve">Health care and social assistance </w:t>
            </w:r>
          </w:p>
        </w:tc>
        <w:tc>
          <w:tcPr>
            <w:tcW w:w="1698" w:type="dxa"/>
          </w:tcPr>
          <w:p w14:paraId="4EB45B75" w14:textId="2E9C4CEC" w:rsidR="009E373C" w:rsidRPr="00395E30" w:rsidRDefault="00287F33" w:rsidP="008A00C8">
            <w:pPr>
              <w:pStyle w:val="TableCopy"/>
              <w:spacing w:before="100" w:beforeAutospacing="1" w:after="100" w:afterAutospacing="1"/>
              <w:rPr>
                <w:color w:val="000000"/>
              </w:rPr>
            </w:pPr>
            <w:r>
              <w:t>9,300</w:t>
            </w:r>
          </w:p>
        </w:tc>
      </w:tr>
      <w:tr w:rsidR="009E373C" w:rsidRPr="00395E30" w14:paraId="1356B36E" w14:textId="77777777" w:rsidTr="00ED2699">
        <w:tc>
          <w:tcPr>
            <w:tcW w:w="4248" w:type="dxa"/>
          </w:tcPr>
          <w:p w14:paraId="506E63A6" w14:textId="67FA0BFB" w:rsidR="009E373C" w:rsidRPr="00395E30" w:rsidRDefault="00EF56E5" w:rsidP="008A00C8">
            <w:pPr>
              <w:pStyle w:val="TableCopy"/>
              <w:spacing w:before="100" w:beforeAutospacing="1" w:after="100" w:afterAutospacing="1"/>
            </w:pPr>
            <w:r>
              <w:t xml:space="preserve">Agriculture, </w:t>
            </w:r>
            <w:proofErr w:type="gramStart"/>
            <w:r>
              <w:t>forestry</w:t>
            </w:r>
            <w:proofErr w:type="gramEnd"/>
            <w:r>
              <w:t xml:space="preserve"> and fishing </w:t>
            </w:r>
          </w:p>
        </w:tc>
        <w:tc>
          <w:tcPr>
            <w:tcW w:w="1698" w:type="dxa"/>
          </w:tcPr>
          <w:p w14:paraId="35F1ABC0" w14:textId="7EAA7BDD" w:rsidR="009E373C" w:rsidRPr="00395E30" w:rsidRDefault="00287F33" w:rsidP="008A00C8">
            <w:pPr>
              <w:pStyle w:val="TableCopy"/>
              <w:spacing w:before="100" w:beforeAutospacing="1" w:after="100" w:afterAutospacing="1"/>
              <w:rPr>
                <w:color w:val="000000"/>
              </w:rPr>
            </w:pPr>
            <w:r>
              <w:t>9,200</w:t>
            </w:r>
          </w:p>
        </w:tc>
      </w:tr>
      <w:tr w:rsidR="009E373C" w:rsidRPr="00395E30" w14:paraId="3ACF3E57" w14:textId="77777777" w:rsidTr="00ED2699">
        <w:tc>
          <w:tcPr>
            <w:tcW w:w="4248" w:type="dxa"/>
          </w:tcPr>
          <w:p w14:paraId="002E2BCD" w14:textId="0BE8A99D" w:rsidR="009E373C" w:rsidRPr="00395E30" w:rsidRDefault="00EF56E5" w:rsidP="008A00C8">
            <w:pPr>
              <w:pStyle w:val="TableCopy"/>
              <w:spacing w:before="100" w:beforeAutospacing="1" w:after="100" w:afterAutospacing="1"/>
            </w:pPr>
            <w:r>
              <w:t xml:space="preserve">Construction </w:t>
            </w:r>
          </w:p>
        </w:tc>
        <w:tc>
          <w:tcPr>
            <w:tcW w:w="1698" w:type="dxa"/>
          </w:tcPr>
          <w:p w14:paraId="06530ABA" w14:textId="77BF923F" w:rsidR="009E373C" w:rsidRPr="00395E30" w:rsidRDefault="00287F33" w:rsidP="008A00C8">
            <w:pPr>
              <w:pStyle w:val="TableCopy"/>
              <w:spacing w:before="100" w:beforeAutospacing="1" w:after="100" w:afterAutospacing="1"/>
              <w:rPr>
                <w:color w:val="000000"/>
              </w:rPr>
            </w:pPr>
            <w:r>
              <w:t>7,200</w:t>
            </w:r>
          </w:p>
        </w:tc>
      </w:tr>
      <w:tr w:rsidR="009E373C" w:rsidRPr="00395E30" w14:paraId="5FA8F712" w14:textId="77777777" w:rsidTr="00ED2699">
        <w:tc>
          <w:tcPr>
            <w:tcW w:w="4248" w:type="dxa"/>
          </w:tcPr>
          <w:p w14:paraId="3B975D5E" w14:textId="36C21D24" w:rsidR="009E373C" w:rsidRPr="00395E30" w:rsidRDefault="00EF56E5" w:rsidP="008A00C8">
            <w:pPr>
              <w:pStyle w:val="TableCopy"/>
              <w:spacing w:before="100" w:beforeAutospacing="1" w:after="100" w:afterAutospacing="1"/>
            </w:pPr>
            <w:r>
              <w:t xml:space="preserve">Retail trade </w:t>
            </w:r>
          </w:p>
        </w:tc>
        <w:tc>
          <w:tcPr>
            <w:tcW w:w="1698" w:type="dxa"/>
          </w:tcPr>
          <w:p w14:paraId="38E5B6F7" w14:textId="1588E30C" w:rsidR="009E373C" w:rsidRPr="00395E30" w:rsidRDefault="00287F33" w:rsidP="008A00C8">
            <w:pPr>
              <w:pStyle w:val="TableCopy"/>
              <w:spacing w:before="100" w:beforeAutospacing="1" w:after="100" w:afterAutospacing="1"/>
              <w:rPr>
                <w:color w:val="000000"/>
              </w:rPr>
            </w:pPr>
            <w:r>
              <w:t>7,000</w:t>
            </w:r>
          </w:p>
        </w:tc>
      </w:tr>
      <w:tr w:rsidR="009E373C" w:rsidRPr="00395E30" w14:paraId="2477695D" w14:textId="77777777" w:rsidTr="00ED2699">
        <w:tc>
          <w:tcPr>
            <w:tcW w:w="4248" w:type="dxa"/>
          </w:tcPr>
          <w:p w14:paraId="701B6978" w14:textId="60897BC0" w:rsidR="009E373C" w:rsidRPr="00395E30" w:rsidRDefault="00EF56E5" w:rsidP="008A00C8">
            <w:pPr>
              <w:pStyle w:val="TableCopy"/>
              <w:spacing w:before="100" w:beforeAutospacing="1" w:after="100" w:afterAutospacing="1"/>
            </w:pPr>
            <w:r>
              <w:t xml:space="preserve">Manufacturing </w:t>
            </w:r>
          </w:p>
        </w:tc>
        <w:tc>
          <w:tcPr>
            <w:tcW w:w="1698" w:type="dxa"/>
          </w:tcPr>
          <w:p w14:paraId="66AA0B11" w14:textId="155D4C7E" w:rsidR="009E373C" w:rsidRPr="00395E30" w:rsidRDefault="00287F33" w:rsidP="008A00C8">
            <w:pPr>
              <w:pStyle w:val="TableCopy"/>
              <w:spacing w:before="100" w:beforeAutospacing="1" w:after="100" w:afterAutospacing="1"/>
              <w:rPr>
                <w:color w:val="000000"/>
              </w:rPr>
            </w:pPr>
            <w:r>
              <w:t>6,900</w:t>
            </w:r>
          </w:p>
        </w:tc>
      </w:tr>
      <w:tr w:rsidR="009E373C" w:rsidRPr="00395E30" w14:paraId="5E5B40E6" w14:textId="77777777" w:rsidTr="00ED2699">
        <w:tc>
          <w:tcPr>
            <w:tcW w:w="4248" w:type="dxa"/>
          </w:tcPr>
          <w:p w14:paraId="5474ED5C" w14:textId="2481F6E0" w:rsidR="009E373C" w:rsidRPr="00395E30" w:rsidRDefault="00EF56E5" w:rsidP="008A00C8">
            <w:pPr>
              <w:pStyle w:val="TableCopy"/>
              <w:spacing w:before="100" w:beforeAutospacing="1" w:after="100" w:afterAutospacing="1"/>
            </w:pPr>
            <w:r>
              <w:t xml:space="preserve">Education and training </w:t>
            </w:r>
          </w:p>
        </w:tc>
        <w:tc>
          <w:tcPr>
            <w:tcW w:w="1698" w:type="dxa"/>
          </w:tcPr>
          <w:p w14:paraId="24C2C062" w14:textId="28E8AAA5" w:rsidR="009E373C" w:rsidRPr="00395E30" w:rsidRDefault="00287F33" w:rsidP="008A00C8">
            <w:pPr>
              <w:pStyle w:val="TableCopy"/>
              <w:spacing w:before="100" w:beforeAutospacing="1" w:after="100" w:afterAutospacing="1"/>
            </w:pPr>
            <w:r>
              <w:t>5,700</w:t>
            </w:r>
          </w:p>
        </w:tc>
      </w:tr>
    </w:tbl>
    <w:p w14:paraId="68C9013B" w14:textId="5541ACEA" w:rsidR="00E1380E" w:rsidRPr="00670F30" w:rsidRDefault="00C349FB" w:rsidP="008A00C8">
      <w:pPr>
        <w:pStyle w:val="Heading2"/>
        <w:spacing w:before="100" w:beforeAutospacing="1" w:after="100" w:afterAutospacing="1"/>
        <w:rPr>
          <w:rFonts w:ascii="Arial" w:eastAsia="MS Mincho" w:hAnsi="Arial" w:cs="Arial"/>
          <w:b/>
          <w:bCs/>
          <w:color w:val="auto"/>
          <w:sz w:val="32"/>
          <w:szCs w:val="32"/>
          <w:lang w:val="en-AU"/>
        </w:rPr>
      </w:pPr>
      <w:r w:rsidRPr="00670F30">
        <w:rPr>
          <w:rFonts w:ascii="Arial" w:eastAsia="MS Mincho" w:hAnsi="Arial" w:cs="Arial"/>
          <w:b/>
          <w:bCs/>
          <w:color w:val="auto"/>
          <w:sz w:val="32"/>
          <w:szCs w:val="32"/>
          <w:lang w:val="en-AU"/>
        </w:rPr>
        <w:t>Top sectors by gross value add (2020)</w:t>
      </w:r>
    </w:p>
    <w:tbl>
      <w:tblPr>
        <w:tblStyle w:val="TableGrid"/>
        <w:tblW w:w="9343" w:type="dxa"/>
        <w:tblLook w:val="04A0" w:firstRow="1" w:lastRow="0" w:firstColumn="1" w:lastColumn="0" w:noHBand="0" w:noVBand="1"/>
      </w:tblPr>
      <w:tblGrid>
        <w:gridCol w:w="6675"/>
        <w:gridCol w:w="2668"/>
      </w:tblGrid>
      <w:tr w:rsidR="00C6552B" w:rsidRPr="0055442F" w14:paraId="0412C64F" w14:textId="77777777" w:rsidTr="00ED2699">
        <w:tc>
          <w:tcPr>
            <w:tcW w:w="4248" w:type="dxa"/>
            <w:noWrap/>
            <w:hideMark/>
          </w:tcPr>
          <w:p w14:paraId="2A93C5A4" w14:textId="77777777" w:rsidR="00C6552B" w:rsidRPr="0055442F" w:rsidRDefault="00C6552B" w:rsidP="008A00C8">
            <w:pPr>
              <w:pStyle w:val="TableCopy"/>
              <w:spacing w:before="100" w:beforeAutospacing="1" w:after="100" w:afterAutospacing="1"/>
              <w:rPr>
                <w:b/>
                <w:bCs/>
              </w:rPr>
            </w:pPr>
            <w:r w:rsidRPr="0055442F">
              <w:rPr>
                <w:b/>
                <w:bCs/>
              </w:rPr>
              <w:t>Industry</w:t>
            </w:r>
          </w:p>
        </w:tc>
        <w:tc>
          <w:tcPr>
            <w:tcW w:w="1698" w:type="dxa"/>
          </w:tcPr>
          <w:p w14:paraId="0211E88B" w14:textId="5099A7A4" w:rsidR="00C6552B" w:rsidRPr="0055442F" w:rsidRDefault="00344BD5" w:rsidP="008A00C8">
            <w:pPr>
              <w:pStyle w:val="TableCopy"/>
              <w:spacing w:before="100" w:beforeAutospacing="1" w:after="100" w:afterAutospacing="1"/>
              <w:rPr>
                <w:b/>
                <w:bCs/>
              </w:rPr>
            </w:pPr>
            <w:r>
              <w:rPr>
                <w:b/>
                <w:bCs/>
              </w:rPr>
              <w:t>G</w:t>
            </w:r>
            <w:r w:rsidR="006B4F43">
              <w:rPr>
                <w:b/>
                <w:bCs/>
              </w:rPr>
              <w:t xml:space="preserve">ross value </w:t>
            </w:r>
            <w:proofErr w:type="gramStart"/>
            <w:r w:rsidR="006B4F43">
              <w:rPr>
                <w:b/>
                <w:bCs/>
              </w:rPr>
              <w:t>add</w:t>
            </w:r>
            <w:proofErr w:type="gramEnd"/>
          </w:p>
        </w:tc>
      </w:tr>
      <w:tr w:rsidR="00C6552B" w:rsidRPr="00395E30" w14:paraId="0D3E8598" w14:textId="77777777" w:rsidTr="00ED2699">
        <w:tc>
          <w:tcPr>
            <w:tcW w:w="4248" w:type="dxa"/>
          </w:tcPr>
          <w:p w14:paraId="5F4E85D0" w14:textId="2AA14EF3" w:rsidR="00C6552B" w:rsidRPr="00395E30" w:rsidRDefault="00EF56E5" w:rsidP="008A00C8">
            <w:pPr>
              <w:pStyle w:val="TableCopy"/>
              <w:spacing w:before="100" w:beforeAutospacing="1" w:after="100" w:afterAutospacing="1"/>
            </w:pPr>
            <w:r>
              <w:t xml:space="preserve">Construction </w:t>
            </w:r>
          </w:p>
        </w:tc>
        <w:tc>
          <w:tcPr>
            <w:tcW w:w="1698" w:type="dxa"/>
          </w:tcPr>
          <w:p w14:paraId="62706779" w14:textId="34B15DCA" w:rsidR="00C6552B" w:rsidRPr="00395E30" w:rsidRDefault="00287F33" w:rsidP="008A00C8">
            <w:pPr>
              <w:pStyle w:val="TableCopy"/>
              <w:spacing w:before="100" w:beforeAutospacing="1" w:after="100" w:afterAutospacing="1"/>
              <w:rPr>
                <w:color w:val="000000"/>
              </w:rPr>
            </w:pPr>
            <w:r>
              <w:t>$824.4</w:t>
            </w:r>
            <w:r w:rsidR="006B4F43">
              <w:t xml:space="preserve"> Million</w:t>
            </w:r>
          </w:p>
        </w:tc>
      </w:tr>
      <w:tr w:rsidR="00C6552B" w:rsidRPr="00395E30" w14:paraId="6E5D60EB" w14:textId="77777777" w:rsidTr="00ED2699">
        <w:tc>
          <w:tcPr>
            <w:tcW w:w="4248" w:type="dxa"/>
          </w:tcPr>
          <w:p w14:paraId="3297DCA1" w14:textId="4D40FE50" w:rsidR="00C6552B" w:rsidRPr="00395E30" w:rsidRDefault="00EF56E5" w:rsidP="008A00C8">
            <w:pPr>
              <w:pStyle w:val="TableCopy"/>
              <w:spacing w:before="100" w:beforeAutospacing="1" w:after="100" w:afterAutospacing="1"/>
            </w:pPr>
            <w:r>
              <w:t xml:space="preserve">Health care and social assistance </w:t>
            </w:r>
          </w:p>
        </w:tc>
        <w:tc>
          <w:tcPr>
            <w:tcW w:w="1698" w:type="dxa"/>
          </w:tcPr>
          <w:p w14:paraId="06F7E01D" w14:textId="18976EBE" w:rsidR="00C6552B" w:rsidRPr="00395E30" w:rsidRDefault="00287F33" w:rsidP="008A00C8">
            <w:pPr>
              <w:pStyle w:val="TableCopy"/>
              <w:spacing w:before="100" w:beforeAutospacing="1" w:after="100" w:afterAutospacing="1"/>
              <w:rPr>
                <w:color w:val="000000"/>
              </w:rPr>
            </w:pPr>
            <w:r>
              <w:t>$759.5</w:t>
            </w:r>
            <w:r w:rsidR="006B4F43">
              <w:t xml:space="preserve"> Million</w:t>
            </w:r>
          </w:p>
        </w:tc>
      </w:tr>
      <w:tr w:rsidR="00C6552B" w:rsidRPr="00395E30" w14:paraId="3CC31164" w14:textId="77777777" w:rsidTr="00ED2699">
        <w:tc>
          <w:tcPr>
            <w:tcW w:w="4248" w:type="dxa"/>
          </w:tcPr>
          <w:p w14:paraId="0F5C13E8" w14:textId="50F84D17" w:rsidR="00C6552B" w:rsidRPr="00395E30" w:rsidRDefault="00B75803" w:rsidP="008A00C8">
            <w:pPr>
              <w:pStyle w:val="TableCopy"/>
              <w:spacing w:before="100" w:beforeAutospacing="1" w:after="100" w:afterAutospacing="1"/>
            </w:pPr>
            <w:r>
              <w:t xml:space="preserve">Manufacturing </w:t>
            </w:r>
          </w:p>
        </w:tc>
        <w:tc>
          <w:tcPr>
            <w:tcW w:w="1698" w:type="dxa"/>
          </w:tcPr>
          <w:p w14:paraId="5A745A8F" w14:textId="46DA2A94" w:rsidR="00C6552B" w:rsidRPr="00395E30" w:rsidRDefault="00287F33" w:rsidP="008A00C8">
            <w:pPr>
              <w:pStyle w:val="TableCopy"/>
              <w:spacing w:before="100" w:beforeAutospacing="1" w:after="100" w:afterAutospacing="1"/>
              <w:rPr>
                <w:color w:val="000000"/>
              </w:rPr>
            </w:pPr>
            <w:r>
              <w:t>$758.1</w:t>
            </w:r>
            <w:r w:rsidR="006B4F43">
              <w:t xml:space="preserve"> Million</w:t>
            </w:r>
          </w:p>
        </w:tc>
      </w:tr>
      <w:tr w:rsidR="00C6552B" w:rsidRPr="00395E30" w14:paraId="41869C6B" w14:textId="77777777" w:rsidTr="00ED2699">
        <w:tc>
          <w:tcPr>
            <w:tcW w:w="4248" w:type="dxa"/>
          </w:tcPr>
          <w:p w14:paraId="227F0352" w14:textId="517BF4F3" w:rsidR="00C6552B" w:rsidRPr="00395E30" w:rsidRDefault="00B75803" w:rsidP="008A00C8">
            <w:pPr>
              <w:pStyle w:val="TableCopy"/>
              <w:spacing w:before="100" w:beforeAutospacing="1" w:after="100" w:afterAutospacing="1"/>
            </w:pPr>
            <w:r>
              <w:t xml:space="preserve">Agriculture, </w:t>
            </w:r>
            <w:proofErr w:type="gramStart"/>
            <w:r>
              <w:t>forestry</w:t>
            </w:r>
            <w:proofErr w:type="gramEnd"/>
            <w:r>
              <w:t xml:space="preserve"> and fishing </w:t>
            </w:r>
          </w:p>
        </w:tc>
        <w:tc>
          <w:tcPr>
            <w:tcW w:w="1698" w:type="dxa"/>
          </w:tcPr>
          <w:p w14:paraId="7DAF1A08" w14:textId="34D532B8" w:rsidR="00C6552B" w:rsidRPr="00395E30" w:rsidRDefault="00287F33" w:rsidP="008A00C8">
            <w:pPr>
              <w:pStyle w:val="TableCopy"/>
              <w:spacing w:before="100" w:beforeAutospacing="1" w:after="100" w:afterAutospacing="1"/>
              <w:rPr>
                <w:color w:val="000000"/>
              </w:rPr>
            </w:pPr>
            <w:r>
              <w:t>$750.5</w:t>
            </w:r>
            <w:r w:rsidR="006B4F43">
              <w:t xml:space="preserve"> Million</w:t>
            </w:r>
          </w:p>
        </w:tc>
      </w:tr>
      <w:tr w:rsidR="00C6552B" w:rsidRPr="00395E30" w14:paraId="24926785" w14:textId="77777777" w:rsidTr="00ED2699">
        <w:tc>
          <w:tcPr>
            <w:tcW w:w="4248" w:type="dxa"/>
          </w:tcPr>
          <w:p w14:paraId="642B83EB" w14:textId="5BE4E4D0" w:rsidR="00C6552B" w:rsidRPr="00395E30" w:rsidRDefault="00B75803" w:rsidP="008A00C8">
            <w:pPr>
              <w:pStyle w:val="TableCopy"/>
              <w:spacing w:before="100" w:beforeAutospacing="1" w:after="100" w:afterAutospacing="1"/>
            </w:pPr>
            <w:r>
              <w:t xml:space="preserve">Education and training </w:t>
            </w:r>
          </w:p>
        </w:tc>
        <w:tc>
          <w:tcPr>
            <w:tcW w:w="1698" w:type="dxa"/>
          </w:tcPr>
          <w:p w14:paraId="7470C069" w14:textId="27521314" w:rsidR="00C6552B" w:rsidRPr="00395E30" w:rsidRDefault="00287F33" w:rsidP="008A00C8">
            <w:pPr>
              <w:pStyle w:val="TableCopy"/>
              <w:spacing w:before="100" w:beforeAutospacing="1" w:after="100" w:afterAutospacing="1"/>
              <w:rPr>
                <w:color w:val="000000"/>
              </w:rPr>
            </w:pPr>
            <w:r>
              <w:t>$462.9</w:t>
            </w:r>
            <w:r w:rsidR="006B4F43">
              <w:t xml:space="preserve"> Million</w:t>
            </w:r>
          </w:p>
        </w:tc>
      </w:tr>
      <w:tr w:rsidR="00C6552B" w:rsidRPr="00395E30" w14:paraId="00F182DD" w14:textId="77777777" w:rsidTr="00ED2699">
        <w:tc>
          <w:tcPr>
            <w:tcW w:w="4248" w:type="dxa"/>
          </w:tcPr>
          <w:p w14:paraId="1F9A1809" w14:textId="59D9DD8F" w:rsidR="00C6552B" w:rsidRPr="00395E30" w:rsidRDefault="00B75803" w:rsidP="008A00C8">
            <w:pPr>
              <w:pStyle w:val="TableCopy"/>
              <w:spacing w:before="100" w:beforeAutospacing="1" w:after="100" w:afterAutospacing="1"/>
            </w:pPr>
            <w:r>
              <w:t xml:space="preserve">Retail trade </w:t>
            </w:r>
          </w:p>
        </w:tc>
        <w:tc>
          <w:tcPr>
            <w:tcW w:w="1698" w:type="dxa"/>
          </w:tcPr>
          <w:p w14:paraId="7598C604" w14:textId="6AAF8468" w:rsidR="00C6552B" w:rsidRPr="00395E30" w:rsidRDefault="00287F33" w:rsidP="008A00C8">
            <w:pPr>
              <w:pStyle w:val="TableCopy"/>
              <w:spacing w:before="100" w:beforeAutospacing="1" w:after="100" w:afterAutospacing="1"/>
            </w:pPr>
            <w:r>
              <w:t>$443.6</w:t>
            </w:r>
            <w:r w:rsidR="006B4F43">
              <w:t xml:space="preserve"> Million</w:t>
            </w:r>
          </w:p>
        </w:tc>
      </w:tr>
    </w:tbl>
    <w:p w14:paraId="37F8325B" w14:textId="176A7973" w:rsidR="00304CB6" w:rsidRDefault="00304CB6" w:rsidP="008A00C8">
      <w:pPr>
        <w:pStyle w:val="Heading1"/>
        <w:spacing w:before="100" w:beforeAutospacing="1" w:after="100" w:afterAutospacing="1"/>
        <w:rPr>
          <w:rFonts w:ascii="Arial" w:hAnsi="Arial" w:cs="Arial"/>
          <w:b/>
          <w:bCs/>
          <w:color w:val="auto"/>
          <w:sz w:val="36"/>
          <w:szCs w:val="36"/>
        </w:rPr>
      </w:pPr>
      <w:r w:rsidRPr="0051145A">
        <w:rPr>
          <w:rFonts w:ascii="Arial" w:hAnsi="Arial" w:cs="Arial"/>
          <w:b/>
          <w:bCs/>
          <w:color w:val="auto"/>
          <w:sz w:val="36"/>
          <w:szCs w:val="36"/>
        </w:rPr>
        <w:t>Strategic Directions</w:t>
      </w:r>
    </w:p>
    <w:p w14:paraId="17875C5D" w14:textId="6ACF6067" w:rsidR="00BD75DE" w:rsidRPr="00BD75DE" w:rsidRDefault="00BD75DE" w:rsidP="00BD75DE">
      <w:pPr>
        <w:rPr>
          <w:rFonts w:ascii="Arial" w:hAnsi="Arial" w:cs="Arial"/>
          <w:sz w:val="24"/>
          <w:szCs w:val="24"/>
          <w:lang w:val="en-AU"/>
        </w:rPr>
      </w:pPr>
      <w:r>
        <w:rPr>
          <w:rFonts w:ascii="Arial" w:hAnsi="Arial" w:cs="Arial"/>
          <w:sz w:val="24"/>
          <w:szCs w:val="24"/>
          <w:lang w:val="en-AU"/>
        </w:rPr>
        <w:t>Goulburn’s</w:t>
      </w:r>
      <w:r w:rsidRPr="00BD75DE">
        <w:rPr>
          <w:rFonts w:ascii="Arial" w:hAnsi="Arial" w:cs="Arial"/>
          <w:sz w:val="24"/>
          <w:szCs w:val="24"/>
          <w:lang w:val="en-AU"/>
        </w:rPr>
        <w:t xml:space="preserve"> f</w:t>
      </w:r>
      <w:r>
        <w:rPr>
          <w:rFonts w:ascii="Arial" w:hAnsi="Arial" w:cs="Arial"/>
          <w:sz w:val="24"/>
          <w:szCs w:val="24"/>
          <w:lang w:val="en-AU"/>
        </w:rPr>
        <w:t>our</w:t>
      </w:r>
      <w:r w:rsidRPr="00BD75DE">
        <w:rPr>
          <w:rFonts w:ascii="Arial" w:hAnsi="Arial" w:cs="Arial"/>
          <w:sz w:val="24"/>
          <w:szCs w:val="24"/>
          <w:lang w:val="en-AU"/>
        </w:rPr>
        <w:t xml:space="preserve"> strategic directions have been identified using an evidence base that considers the region’s unique attributes, existing and emerging industries, and socioeconomic context.</w:t>
      </w:r>
    </w:p>
    <w:p w14:paraId="2E6E6165" w14:textId="3AE7F5C8" w:rsidR="001245F6" w:rsidRPr="009A3281" w:rsidRDefault="005E0ACF" w:rsidP="00E6798B">
      <w:pPr>
        <w:pStyle w:val="Heading2"/>
        <w:spacing w:before="100" w:beforeAutospacing="1" w:after="100" w:afterAutospacing="1"/>
        <w:rPr>
          <w:rFonts w:ascii="Arial" w:hAnsi="Arial" w:cs="Arial"/>
          <w:color w:val="auto"/>
          <w:sz w:val="32"/>
          <w:szCs w:val="32"/>
        </w:rPr>
      </w:pPr>
      <w:r w:rsidRPr="005E0ACF">
        <w:rPr>
          <w:rFonts w:ascii="Arial" w:hAnsi="Arial" w:cs="Arial"/>
          <w:color w:val="auto"/>
          <w:sz w:val="32"/>
          <w:szCs w:val="32"/>
        </w:rPr>
        <w:t>1. Enhance productivity and resilience in the agricultural and food product manufacturing sectors</w:t>
      </w:r>
    </w:p>
    <w:p w14:paraId="68353F0A" w14:textId="213A9B51" w:rsidR="001245F6" w:rsidRPr="001245F6" w:rsidRDefault="00936308" w:rsidP="008A00C8">
      <w:pPr>
        <w:spacing w:before="100" w:beforeAutospacing="1" w:after="100" w:afterAutospacing="1"/>
        <w:rPr>
          <w:rFonts w:ascii="Arial" w:hAnsi="Arial" w:cs="Arial"/>
          <w:sz w:val="24"/>
          <w:szCs w:val="24"/>
          <w:lang w:val="en-AU"/>
        </w:rPr>
      </w:pPr>
      <w:r w:rsidRPr="00936308">
        <w:rPr>
          <w:rFonts w:ascii="Arial" w:hAnsi="Arial" w:cs="Arial"/>
          <w:sz w:val="24"/>
          <w:szCs w:val="24"/>
          <w:lang w:val="en-AU"/>
        </w:rPr>
        <w:t xml:space="preserve">The region will benefit from opportunities to increase agricultural diversity, invest in advanced manufacturing </w:t>
      </w:r>
      <w:proofErr w:type="gramStart"/>
      <w:r w:rsidRPr="00936308">
        <w:rPr>
          <w:rFonts w:ascii="Arial" w:hAnsi="Arial" w:cs="Arial"/>
          <w:sz w:val="24"/>
          <w:szCs w:val="24"/>
          <w:lang w:val="en-AU"/>
        </w:rPr>
        <w:t>capabilities, and</w:t>
      </w:r>
      <w:proofErr w:type="gramEnd"/>
      <w:r w:rsidRPr="00936308">
        <w:rPr>
          <w:rFonts w:ascii="Arial" w:hAnsi="Arial" w:cs="Arial"/>
          <w:sz w:val="24"/>
          <w:szCs w:val="24"/>
          <w:lang w:val="en-AU"/>
        </w:rPr>
        <w:t xml:space="preserve"> take advantage of overseas demand for high-quality food including growing interest in native foods.</w:t>
      </w:r>
    </w:p>
    <w:p w14:paraId="368E7515" w14:textId="65C43170" w:rsidR="001245F6" w:rsidRPr="001245F6" w:rsidRDefault="00936308" w:rsidP="008A00C8">
      <w:pPr>
        <w:pStyle w:val="Heading2"/>
        <w:spacing w:before="100" w:beforeAutospacing="1" w:after="100" w:afterAutospacing="1"/>
        <w:rPr>
          <w:rFonts w:ascii="Arial" w:hAnsi="Arial" w:cs="Arial"/>
          <w:color w:val="auto"/>
          <w:sz w:val="32"/>
          <w:szCs w:val="32"/>
        </w:rPr>
      </w:pPr>
      <w:r w:rsidRPr="00936308">
        <w:rPr>
          <w:rFonts w:ascii="Arial" w:hAnsi="Arial" w:cs="Arial"/>
          <w:color w:val="auto"/>
          <w:sz w:val="32"/>
          <w:szCs w:val="32"/>
        </w:rPr>
        <w:lastRenderedPageBreak/>
        <w:t>2. Focus on continued growth and development of the visitor economy, leveraging natural assets and Aboriginal heritage</w:t>
      </w:r>
    </w:p>
    <w:p w14:paraId="1AFB04AD" w14:textId="138EACC3" w:rsidR="001245F6" w:rsidRPr="001245F6" w:rsidRDefault="00936308" w:rsidP="008A00C8">
      <w:pPr>
        <w:spacing w:before="100" w:beforeAutospacing="1" w:after="100" w:afterAutospacing="1"/>
        <w:rPr>
          <w:rFonts w:ascii="Arial" w:hAnsi="Arial" w:cs="Arial"/>
          <w:sz w:val="24"/>
          <w:szCs w:val="24"/>
          <w:lang w:val="en-AU"/>
        </w:rPr>
      </w:pPr>
      <w:r w:rsidRPr="00936308">
        <w:rPr>
          <w:rFonts w:ascii="Arial" w:hAnsi="Arial" w:cs="Arial"/>
          <w:sz w:val="24"/>
          <w:szCs w:val="24"/>
          <w:lang w:val="en-AU"/>
        </w:rPr>
        <w:t xml:space="preserve">Parks, waterways and a vibrant food and wine scene position the region to benefit from visitor economy growth opportunities such as agritourism, ‘hero experiences’, and other unique offerings. The region can also capitalise on its Aboriginal heritage to grow and diversify its cultural tourism offering.  </w:t>
      </w:r>
    </w:p>
    <w:p w14:paraId="3366C93F" w14:textId="4F0EE03E" w:rsidR="001245F6" w:rsidRPr="001245F6" w:rsidRDefault="0061427F" w:rsidP="008A00C8">
      <w:pPr>
        <w:pStyle w:val="Heading2"/>
        <w:spacing w:before="100" w:beforeAutospacing="1" w:after="100" w:afterAutospacing="1"/>
        <w:rPr>
          <w:rFonts w:ascii="Arial" w:hAnsi="Arial" w:cs="Arial"/>
          <w:lang w:val="en-AU"/>
        </w:rPr>
      </w:pPr>
      <w:r w:rsidRPr="0061427F">
        <w:rPr>
          <w:rFonts w:ascii="Arial" w:hAnsi="Arial" w:cs="Arial"/>
          <w:color w:val="auto"/>
          <w:sz w:val="32"/>
          <w:szCs w:val="32"/>
        </w:rPr>
        <w:t>3. Strengthen renewable energy generation and the role of the circular economy</w:t>
      </w:r>
    </w:p>
    <w:p w14:paraId="7203B608" w14:textId="403D8449" w:rsidR="001245F6" w:rsidRPr="001245F6" w:rsidRDefault="0061427F" w:rsidP="008A00C8">
      <w:pPr>
        <w:spacing w:before="100" w:beforeAutospacing="1" w:after="100" w:afterAutospacing="1"/>
        <w:rPr>
          <w:rFonts w:ascii="Arial" w:hAnsi="Arial" w:cs="Arial"/>
          <w:sz w:val="24"/>
          <w:szCs w:val="24"/>
          <w:lang w:val="en-AU"/>
        </w:rPr>
      </w:pPr>
      <w:r w:rsidRPr="0061427F">
        <w:rPr>
          <w:rFonts w:ascii="Arial" w:hAnsi="Arial" w:cs="Arial"/>
          <w:sz w:val="24"/>
          <w:szCs w:val="24"/>
          <w:lang w:val="en-AU"/>
        </w:rPr>
        <w:t>Investment in solar, pumped hydro, bioenergy and hydrogen will strengthen local supply chains by developing linkages with other sectors such as agriculture and manufacturing. Distributed energy resources and circular economy also create new pathways to strengthen the region’s energy resilience.</w:t>
      </w:r>
    </w:p>
    <w:p w14:paraId="13507C2C" w14:textId="13355475" w:rsidR="001245F6" w:rsidRPr="001245F6" w:rsidRDefault="0061427F" w:rsidP="008A00C8">
      <w:pPr>
        <w:pStyle w:val="Heading2"/>
        <w:spacing w:before="100" w:beforeAutospacing="1" w:after="100" w:afterAutospacing="1"/>
        <w:rPr>
          <w:rFonts w:ascii="Arial" w:hAnsi="Arial" w:cs="Arial"/>
          <w:color w:val="auto"/>
          <w:sz w:val="32"/>
          <w:szCs w:val="32"/>
        </w:rPr>
      </w:pPr>
      <w:r w:rsidRPr="0061427F">
        <w:rPr>
          <w:rFonts w:ascii="Arial" w:hAnsi="Arial" w:cs="Arial"/>
          <w:color w:val="auto"/>
          <w:sz w:val="32"/>
          <w:szCs w:val="32"/>
        </w:rPr>
        <w:t xml:space="preserve">4. Leverage the role of </w:t>
      </w:r>
      <w:proofErr w:type="spellStart"/>
      <w:r w:rsidRPr="0061427F">
        <w:rPr>
          <w:rFonts w:ascii="Arial" w:hAnsi="Arial" w:cs="Arial"/>
          <w:color w:val="auto"/>
          <w:sz w:val="32"/>
          <w:szCs w:val="32"/>
        </w:rPr>
        <w:t>Shepparton</w:t>
      </w:r>
      <w:proofErr w:type="spellEnd"/>
      <w:r w:rsidRPr="0061427F">
        <w:rPr>
          <w:rFonts w:ascii="Arial" w:hAnsi="Arial" w:cs="Arial"/>
          <w:color w:val="auto"/>
          <w:sz w:val="32"/>
          <w:szCs w:val="32"/>
        </w:rPr>
        <w:t xml:space="preserve"> as the regional capital and industry hub</w:t>
      </w:r>
    </w:p>
    <w:p w14:paraId="67DABD38" w14:textId="3F02CB69" w:rsidR="001245F6" w:rsidRPr="001245F6" w:rsidRDefault="00B30DAA" w:rsidP="008A00C8">
      <w:pPr>
        <w:spacing w:before="100" w:beforeAutospacing="1" w:after="100" w:afterAutospacing="1"/>
        <w:rPr>
          <w:rFonts w:ascii="Arial" w:hAnsi="Arial" w:cs="Arial"/>
          <w:sz w:val="24"/>
          <w:szCs w:val="24"/>
          <w:lang w:val="en-AU"/>
        </w:rPr>
      </w:pPr>
      <w:r w:rsidRPr="00B30DAA">
        <w:rPr>
          <w:rFonts w:ascii="Arial" w:hAnsi="Arial" w:cs="Arial"/>
          <w:sz w:val="24"/>
          <w:szCs w:val="24"/>
          <w:lang w:val="en-AU"/>
        </w:rPr>
        <w:t xml:space="preserve">Concentrated industry growth in Shepparton can be leveraged to promote settlement across the region and provide employment pathways for local youth, boost </w:t>
      </w:r>
      <w:proofErr w:type="gramStart"/>
      <w:r w:rsidRPr="00B30DAA">
        <w:rPr>
          <w:rFonts w:ascii="Arial" w:hAnsi="Arial" w:cs="Arial"/>
          <w:sz w:val="24"/>
          <w:szCs w:val="24"/>
          <w:lang w:val="en-AU"/>
        </w:rPr>
        <w:t>productivity</w:t>
      </w:r>
      <w:proofErr w:type="gramEnd"/>
      <w:r w:rsidRPr="00B30DAA">
        <w:rPr>
          <w:rFonts w:ascii="Arial" w:hAnsi="Arial" w:cs="Arial"/>
          <w:sz w:val="24"/>
          <w:szCs w:val="24"/>
          <w:lang w:val="en-AU"/>
        </w:rPr>
        <w:t xml:space="preserve"> and encourage agri-food research and development.</w:t>
      </w:r>
    </w:p>
    <w:p w14:paraId="6D23E3A4" w14:textId="3C5D23B8" w:rsidR="007B6470" w:rsidRPr="00392AB8" w:rsidRDefault="007B6470" w:rsidP="00A91195">
      <w:pPr>
        <w:pStyle w:val="FootnoteText"/>
      </w:pPr>
      <w:r w:rsidRPr="00392AB8">
        <w:t xml:space="preserve">Please refer to the </w:t>
      </w:r>
      <w:r w:rsidR="00D72A5B">
        <w:t>Goulburn</w:t>
      </w:r>
      <w:r w:rsidRPr="00392AB8">
        <w:t xml:space="preserve"> REDS and Supporting Analysis for further detail and sources.</w:t>
      </w:r>
    </w:p>
    <w:p w14:paraId="49400477" w14:textId="5D49A3F5" w:rsidR="00304CB6" w:rsidRPr="00392AB8" w:rsidRDefault="007B6470" w:rsidP="00A91195">
      <w:pPr>
        <w:pStyle w:val="FootnoteText"/>
      </w:pPr>
      <w:r w:rsidRPr="00392AB8">
        <w:t>Prepared by the Department of Jobs, Precincts and Regions, May 2022. For more information see: rdv.vic.gov.au.</w:t>
      </w:r>
    </w:p>
    <w:p w14:paraId="0EFAF151" w14:textId="77777777" w:rsidR="00F35DC3" w:rsidRPr="001245F6" w:rsidRDefault="00F35DC3" w:rsidP="008A00C8">
      <w:pPr>
        <w:spacing w:before="100" w:beforeAutospacing="1" w:after="100" w:afterAutospacing="1"/>
        <w:rPr>
          <w:rFonts w:ascii="Arial" w:hAnsi="Arial" w:cs="Arial"/>
          <w:lang w:val="en-AU"/>
        </w:rPr>
      </w:pPr>
    </w:p>
    <w:p w14:paraId="2D922527" w14:textId="77777777" w:rsidR="00C71B7A" w:rsidRPr="001245F6" w:rsidRDefault="00C71B7A" w:rsidP="008A00C8">
      <w:pPr>
        <w:spacing w:before="100" w:beforeAutospacing="1" w:after="100" w:afterAutospacing="1"/>
        <w:rPr>
          <w:rFonts w:ascii="Arial" w:hAnsi="Arial" w:cs="Arial"/>
          <w:lang w:val="en-AU"/>
        </w:rPr>
      </w:pPr>
    </w:p>
    <w:p w14:paraId="2C078E63" w14:textId="77777777" w:rsidR="00163928" w:rsidRPr="001245F6" w:rsidRDefault="00163928" w:rsidP="008A00C8">
      <w:pPr>
        <w:spacing w:before="100" w:beforeAutospacing="1" w:after="100" w:afterAutospacing="1"/>
        <w:rPr>
          <w:rFonts w:ascii="Arial" w:hAnsi="Arial" w:cs="Arial"/>
        </w:rPr>
      </w:pPr>
    </w:p>
    <w:sectPr w:rsidR="00163928" w:rsidRPr="001245F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5D08C" w14:textId="77777777" w:rsidR="00DF52B6" w:rsidRDefault="00DF52B6" w:rsidP="009D5328">
      <w:pPr>
        <w:spacing w:after="0" w:line="240" w:lineRule="auto"/>
      </w:pPr>
      <w:r>
        <w:separator/>
      </w:r>
    </w:p>
  </w:endnote>
  <w:endnote w:type="continuationSeparator" w:id="0">
    <w:p w14:paraId="2DCD84B6" w14:textId="77777777" w:rsidR="00DF52B6" w:rsidRDefault="00DF52B6" w:rsidP="009D5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CB632" w14:textId="77777777" w:rsidR="00DF52B6" w:rsidRDefault="00DF52B6" w:rsidP="009D5328">
      <w:pPr>
        <w:spacing w:after="0" w:line="240" w:lineRule="auto"/>
      </w:pPr>
      <w:r>
        <w:separator/>
      </w:r>
    </w:p>
  </w:footnote>
  <w:footnote w:type="continuationSeparator" w:id="0">
    <w:p w14:paraId="19FE568E" w14:textId="77777777" w:rsidR="00DF52B6" w:rsidRDefault="00DF52B6" w:rsidP="009D53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73003F1"/>
    <w:rsid w:val="00016785"/>
    <w:rsid w:val="000237B7"/>
    <w:rsid w:val="00032B2C"/>
    <w:rsid w:val="00043CFE"/>
    <w:rsid w:val="00047184"/>
    <w:rsid w:val="00064FF3"/>
    <w:rsid w:val="00087E72"/>
    <w:rsid w:val="00110FD5"/>
    <w:rsid w:val="001245F6"/>
    <w:rsid w:val="00163928"/>
    <w:rsid w:val="001765A2"/>
    <w:rsid w:val="001C2593"/>
    <w:rsid w:val="00224BFB"/>
    <w:rsid w:val="00226367"/>
    <w:rsid w:val="00237C71"/>
    <w:rsid w:val="00240C90"/>
    <w:rsid w:val="00241A94"/>
    <w:rsid w:val="00265016"/>
    <w:rsid w:val="00287F33"/>
    <w:rsid w:val="002D0776"/>
    <w:rsid w:val="002E32E1"/>
    <w:rsid w:val="00304CB6"/>
    <w:rsid w:val="00344BD5"/>
    <w:rsid w:val="00372AAE"/>
    <w:rsid w:val="00384431"/>
    <w:rsid w:val="00392AB8"/>
    <w:rsid w:val="003C5975"/>
    <w:rsid w:val="003D50F9"/>
    <w:rsid w:val="003E29EB"/>
    <w:rsid w:val="0040436C"/>
    <w:rsid w:val="00421CBF"/>
    <w:rsid w:val="004258C8"/>
    <w:rsid w:val="004C1FA3"/>
    <w:rsid w:val="004E2623"/>
    <w:rsid w:val="0051145A"/>
    <w:rsid w:val="00535344"/>
    <w:rsid w:val="00542953"/>
    <w:rsid w:val="00542B83"/>
    <w:rsid w:val="00562DCA"/>
    <w:rsid w:val="005D5CAA"/>
    <w:rsid w:val="005E0ACF"/>
    <w:rsid w:val="0061427F"/>
    <w:rsid w:val="00670F30"/>
    <w:rsid w:val="006B4F43"/>
    <w:rsid w:val="006F5A41"/>
    <w:rsid w:val="007254CF"/>
    <w:rsid w:val="00790976"/>
    <w:rsid w:val="007B6470"/>
    <w:rsid w:val="00826A4F"/>
    <w:rsid w:val="00864E5F"/>
    <w:rsid w:val="00894C22"/>
    <w:rsid w:val="008A00C8"/>
    <w:rsid w:val="008B5C2D"/>
    <w:rsid w:val="00936308"/>
    <w:rsid w:val="00964B95"/>
    <w:rsid w:val="0097034F"/>
    <w:rsid w:val="009949E7"/>
    <w:rsid w:val="009A3281"/>
    <w:rsid w:val="009B327E"/>
    <w:rsid w:val="009D5328"/>
    <w:rsid w:val="009E373C"/>
    <w:rsid w:val="009E3AD7"/>
    <w:rsid w:val="00A039B4"/>
    <w:rsid w:val="00A91195"/>
    <w:rsid w:val="00AC35F6"/>
    <w:rsid w:val="00B30DAA"/>
    <w:rsid w:val="00B34475"/>
    <w:rsid w:val="00B47221"/>
    <w:rsid w:val="00B74E41"/>
    <w:rsid w:val="00B75803"/>
    <w:rsid w:val="00B815BC"/>
    <w:rsid w:val="00BD75DE"/>
    <w:rsid w:val="00C22293"/>
    <w:rsid w:val="00C349FB"/>
    <w:rsid w:val="00C6552B"/>
    <w:rsid w:val="00C71B7A"/>
    <w:rsid w:val="00C73179"/>
    <w:rsid w:val="00CC083F"/>
    <w:rsid w:val="00D72A5B"/>
    <w:rsid w:val="00DF52B6"/>
    <w:rsid w:val="00E1380E"/>
    <w:rsid w:val="00E6798B"/>
    <w:rsid w:val="00E70E24"/>
    <w:rsid w:val="00E74E94"/>
    <w:rsid w:val="00E90A51"/>
    <w:rsid w:val="00EA14E8"/>
    <w:rsid w:val="00EB1754"/>
    <w:rsid w:val="00EF56E5"/>
    <w:rsid w:val="00F07A02"/>
    <w:rsid w:val="00F35DC3"/>
    <w:rsid w:val="00F56B94"/>
    <w:rsid w:val="00FE3CC8"/>
    <w:rsid w:val="47300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003F1"/>
  <w15:chartTrackingRefBased/>
  <w15:docId w15:val="{85A4E1F5-7743-40F3-ABB0-FD01851D2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532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E3AD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7B6470"/>
    <w:pPr>
      <w:keepNext/>
      <w:keepLines/>
      <w:spacing w:before="200" w:after="200" w:line="240" w:lineRule="auto"/>
      <w:outlineLvl w:val="2"/>
    </w:pPr>
    <w:rPr>
      <w:rFonts w:ascii="Arial" w:eastAsia="MS Gothic" w:hAnsi="Arial" w:cs="Arial"/>
      <w:b/>
      <w:bCs/>
      <w:spacing w:val="-4"/>
      <w:sz w:val="28"/>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3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328"/>
  </w:style>
  <w:style w:type="paragraph" w:styleId="Footer">
    <w:name w:val="footer"/>
    <w:basedOn w:val="Normal"/>
    <w:link w:val="FooterChar"/>
    <w:uiPriority w:val="99"/>
    <w:unhideWhenUsed/>
    <w:rsid w:val="009D53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328"/>
  </w:style>
  <w:style w:type="paragraph" w:styleId="Title">
    <w:name w:val="Title"/>
    <w:basedOn w:val="Normal"/>
    <w:next w:val="Normal"/>
    <w:link w:val="TitleChar"/>
    <w:uiPriority w:val="10"/>
    <w:qFormat/>
    <w:rsid w:val="009D5328"/>
    <w:pPr>
      <w:pBdr>
        <w:bottom w:val="single" w:sz="8" w:space="4" w:color="4F81BD"/>
      </w:pBdr>
      <w:spacing w:after="300" w:line="240" w:lineRule="auto"/>
      <w:contextualSpacing/>
    </w:pPr>
    <w:rPr>
      <w:rFonts w:ascii="Arial" w:eastAsia="MS Gothic" w:hAnsi="Arial" w:cs="Arial"/>
      <w:b/>
      <w:spacing w:val="5"/>
      <w:kern w:val="28"/>
      <w:sz w:val="52"/>
      <w:szCs w:val="52"/>
      <w:lang w:val="en-AU"/>
    </w:rPr>
  </w:style>
  <w:style w:type="character" w:customStyle="1" w:styleId="TitleChar">
    <w:name w:val="Title Char"/>
    <w:basedOn w:val="DefaultParagraphFont"/>
    <w:link w:val="Title"/>
    <w:uiPriority w:val="10"/>
    <w:rsid w:val="009D5328"/>
    <w:rPr>
      <w:rFonts w:ascii="Arial" w:eastAsia="MS Gothic" w:hAnsi="Arial" w:cs="Arial"/>
      <w:b/>
      <w:spacing w:val="5"/>
      <w:kern w:val="28"/>
      <w:sz w:val="52"/>
      <w:szCs w:val="52"/>
      <w:lang w:val="en-AU"/>
    </w:rPr>
  </w:style>
  <w:style w:type="paragraph" w:styleId="Subtitle">
    <w:name w:val="Subtitle"/>
    <w:basedOn w:val="Heading1"/>
    <w:next w:val="Normal"/>
    <w:link w:val="SubtitleChar"/>
    <w:uiPriority w:val="11"/>
    <w:qFormat/>
    <w:rsid w:val="009D5328"/>
    <w:pPr>
      <w:spacing w:before="480" w:after="200" w:line="240" w:lineRule="auto"/>
    </w:pPr>
    <w:rPr>
      <w:rFonts w:ascii="Arial" w:eastAsia="MS Gothic" w:hAnsi="Arial" w:cs="Times New Roman"/>
      <w:b/>
      <w:bCs/>
      <w:color w:val="auto"/>
      <w:spacing w:val="-4"/>
      <w:sz w:val="36"/>
      <w:lang w:val="en-AU"/>
    </w:rPr>
  </w:style>
  <w:style w:type="character" w:customStyle="1" w:styleId="SubtitleChar">
    <w:name w:val="Subtitle Char"/>
    <w:basedOn w:val="DefaultParagraphFont"/>
    <w:link w:val="Subtitle"/>
    <w:uiPriority w:val="11"/>
    <w:rsid w:val="009D5328"/>
    <w:rPr>
      <w:rFonts w:ascii="Arial" w:eastAsia="MS Gothic" w:hAnsi="Arial" w:cs="Times New Roman"/>
      <w:b/>
      <w:bCs/>
      <w:spacing w:val="-4"/>
      <w:sz w:val="36"/>
      <w:szCs w:val="32"/>
      <w:lang w:val="en-AU"/>
    </w:rPr>
  </w:style>
  <w:style w:type="character" w:customStyle="1" w:styleId="Heading1Char">
    <w:name w:val="Heading 1 Char"/>
    <w:basedOn w:val="DefaultParagraphFont"/>
    <w:link w:val="Heading1"/>
    <w:uiPriority w:val="9"/>
    <w:rsid w:val="009D5328"/>
    <w:rPr>
      <w:rFonts w:asciiTheme="majorHAnsi" w:eastAsiaTheme="majorEastAsia" w:hAnsiTheme="majorHAnsi" w:cstheme="majorBidi"/>
      <w:color w:val="2F5496" w:themeColor="accent1" w:themeShade="BF"/>
      <w:sz w:val="32"/>
      <w:szCs w:val="32"/>
    </w:rPr>
  </w:style>
  <w:style w:type="paragraph" w:styleId="EndnoteText">
    <w:name w:val="endnote text"/>
    <w:basedOn w:val="Normal"/>
    <w:link w:val="EndnoteTextChar"/>
    <w:uiPriority w:val="99"/>
    <w:semiHidden/>
    <w:unhideWhenUsed/>
    <w:rsid w:val="00087E7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87E72"/>
    <w:rPr>
      <w:sz w:val="20"/>
      <w:szCs w:val="20"/>
    </w:rPr>
  </w:style>
  <w:style w:type="character" w:styleId="EndnoteReference">
    <w:name w:val="endnote reference"/>
    <w:basedOn w:val="DefaultParagraphFont"/>
    <w:uiPriority w:val="99"/>
    <w:semiHidden/>
    <w:unhideWhenUsed/>
    <w:rsid w:val="00087E72"/>
    <w:rPr>
      <w:vertAlign w:val="superscript"/>
    </w:rPr>
  </w:style>
  <w:style w:type="character" w:customStyle="1" w:styleId="Heading3Char">
    <w:name w:val="Heading 3 Char"/>
    <w:basedOn w:val="DefaultParagraphFont"/>
    <w:link w:val="Heading3"/>
    <w:uiPriority w:val="9"/>
    <w:rsid w:val="007B6470"/>
    <w:rPr>
      <w:rFonts w:ascii="Arial" w:eastAsia="MS Gothic" w:hAnsi="Arial" w:cs="Arial"/>
      <w:b/>
      <w:bCs/>
      <w:spacing w:val="-4"/>
      <w:sz w:val="28"/>
      <w:szCs w:val="24"/>
      <w:lang w:val="en-AU"/>
    </w:rPr>
  </w:style>
  <w:style w:type="character" w:customStyle="1" w:styleId="Heading2Char">
    <w:name w:val="Heading 2 Char"/>
    <w:basedOn w:val="DefaultParagraphFont"/>
    <w:link w:val="Heading2"/>
    <w:uiPriority w:val="9"/>
    <w:rsid w:val="009E3AD7"/>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3E29EB"/>
    <w:pPr>
      <w:spacing w:after="0" w:line="240" w:lineRule="auto"/>
    </w:pPr>
    <w:rPr>
      <w:rFonts w:ascii="Cambria" w:eastAsia="MS Mincho" w:hAnsi="Cambria"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
    <w:basedOn w:val="Normal"/>
    <w:qFormat/>
    <w:rsid w:val="003E29EB"/>
    <w:pPr>
      <w:spacing w:before="60" w:after="60" w:line="240" w:lineRule="auto"/>
    </w:pPr>
    <w:rPr>
      <w:rFonts w:ascii="Arial" w:eastAsia="MS Mincho" w:hAnsi="Arial" w:cs="Arial"/>
      <w:spacing w:val="-4"/>
      <w:sz w:val="24"/>
      <w:szCs w:val="24"/>
      <w:lang w:val="en-AU"/>
    </w:rPr>
  </w:style>
  <w:style w:type="paragraph" w:styleId="FootnoteText">
    <w:name w:val="footnote text"/>
    <w:basedOn w:val="Normal"/>
    <w:link w:val="FootnoteTextChar"/>
    <w:uiPriority w:val="99"/>
    <w:unhideWhenUsed/>
    <w:rsid w:val="00E1380E"/>
    <w:pPr>
      <w:spacing w:after="60" w:line="240" w:lineRule="auto"/>
    </w:pPr>
    <w:rPr>
      <w:rFonts w:ascii="Arial" w:eastAsia="MS Mincho" w:hAnsi="Arial" w:cs="Arial"/>
      <w:spacing w:val="-4"/>
      <w:sz w:val="16"/>
      <w:szCs w:val="24"/>
      <w:lang w:val="en-AU"/>
    </w:rPr>
  </w:style>
  <w:style w:type="character" w:customStyle="1" w:styleId="FootnoteTextChar">
    <w:name w:val="Footnote Text Char"/>
    <w:basedOn w:val="DefaultParagraphFont"/>
    <w:link w:val="FootnoteText"/>
    <w:uiPriority w:val="99"/>
    <w:rsid w:val="00E1380E"/>
    <w:rPr>
      <w:rFonts w:ascii="Arial" w:eastAsia="MS Mincho" w:hAnsi="Arial" w:cs="Arial"/>
      <w:spacing w:val="-4"/>
      <w:sz w:val="16"/>
      <w:szCs w:val="24"/>
      <w:lang w:val="en-AU"/>
    </w:rPr>
  </w:style>
  <w:style w:type="character" w:styleId="FootnoteReference">
    <w:name w:val="footnote reference"/>
    <w:uiPriority w:val="99"/>
    <w:unhideWhenUsed/>
    <w:rsid w:val="00E1380E"/>
    <w:rPr>
      <w:rFonts w:ascii="Arial" w:hAnsi="Arial"/>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80680">
      <w:bodyDiv w:val="1"/>
      <w:marLeft w:val="0"/>
      <w:marRight w:val="0"/>
      <w:marTop w:val="0"/>
      <w:marBottom w:val="0"/>
      <w:divBdr>
        <w:top w:val="none" w:sz="0" w:space="0" w:color="auto"/>
        <w:left w:val="none" w:sz="0" w:space="0" w:color="auto"/>
        <w:bottom w:val="none" w:sz="0" w:space="0" w:color="auto"/>
        <w:right w:val="none" w:sz="0" w:space="0" w:color="auto"/>
      </w:divBdr>
    </w:div>
    <w:div w:id="36392782">
      <w:bodyDiv w:val="1"/>
      <w:marLeft w:val="0"/>
      <w:marRight w:val="0"/>
      <w:marTop w:val="0"/>
      <w:marBottom w:val="0"/>
      <w:divBdr>
        <w:top w:val="none" w:sz="0" w:space="0" w:color="auto"/>
        <w:left w:val="none" w:sz="0" w:space="0" w:color="auto"/>
        <w:bottom w:val="none" w:sz="0" w:space="0" w:color="auto"/>
        <w:right w:val="none" w:sz="0" w:space="0" w:color="auto"/>
      </w:divBdr>
    </w:div>
    <w:div w:id="173543994">
      <w:bodyDiv w:val="1"/>
      <w:marLeft w:val="0"/>
      <w:marRight w:val="0"/>
      <w:marTop w:val="0"/>
      <w:marBottom w:val="0"/>
      <w:divBdr>
        <w:top w:val="none" w:sz="0" w:space="0" w:color="auto"/>
        <w:left w:val="none" w:sz="0" w:space="0" w:color="auto"/>
        <w:bottom w:val="none" w:sz="0" w:space="0" w:color="auto"/>
        <w:right w:val="none" w:sz="0" w:space="0" w:color="auto"/>
      </w:divBdr>
    </w:div>
    <w:div w:id="189536131">
      <w:bodyDiv w:val="1"/>
      <w:marLeft w:val="0"/>
      <w:marRight w:val="0"/>
      <w:marTop w:val="0"/>
      <w:marBottom w:val="0"/>
      <w:divBdr>
        <w:top w:val="none" w:sz="0" w:space="0" w:color="auto"/>
        <w:left w:val="none" w:sz="0" w:space="0" w:color="auto"/>
        <w:bottom w:val="none" w:sz="0" w:space="0" w:color="auto"/>
        <w:right w:val="none" w:sz="0" w:space="0" w:color="auto"/>
      </w:divBdr>
    </w:div>
    <w:div w:id="482963439">
      <w:bodyDiv w:val="1"/>
      <w:marLeft w:val="0"/>
      <w:marRight w:val="0"/>
      <w:marTop w:val="0"/>
      <w:marBottom w:val="0"/>
      <w:divBdr>
        <w:top w:val="none" w:sz="0" w:space="0" w:color="auto"/>
        <w:left w:val="none" w:sz="0" w:space="0" w:color="auto"/>
        <w:bottom w:val="none" w:sz="0" w:space="0" w:color="auto"/>
        <w:right w:val="none" w:sz="0" w:space="0" w:color="auto"/>
      </w:divBdr>
    </w:div>
    <w:div w:id="505557725">
      <w:bodyDiv w:val="1"/>
      <w:marLeft w:val="0"/>
      <w:marRight w:val="0"/>
      <w:marTop w:val="0"/>
      <w:marBottom w:val="0"/>
      <w:divBdr>
        <w:top w:val="none" w:sz="0" w:space="0" w:color="auto"/>
        <w:left w:val="none" w:sz="0" w:space="0" w:color="auto"/>
        <w:bottom w:val="none" w:sz="0" w:space="0" w:color="auto"/>
        <w:right w:val="none" w:sz="0" w:space="0" w:color="auto"/>
      </w:divBdr>
    </w:div>
    <w:div w:id="544101764">
      <w:bodyDiv w:val="1"/>
      <w:marLeft w:val="0"/>
      <w:marRight w:val="0"/>
      <w:marTop w:val="0"/>
      <w:marBottom w:val="0"/>
      <w:divBdr>
        <w:top w:val="none" w:sz="0" w:space="0" w:color="auto"/>
        <w:left w:val="none" w:sz="0" w:space="0" w:color="auto"/>
        <w:bottom w:val="none" w:sz="0" w:space="0" w:color="auto"/>
        <w:right w:val="none" w:sz="0" w:space="0" w:color="auto"/>
      </w:divBdr>
    </w:div>
    <w:div w:id="605575459">
      <w:bodyDiv w:val="1"/>
      <w:marLeft w:val="0"/>
      <w:marRight w:val="0"/>
      <w:marTop w:val="0"/>
      <w:marBottom w:val="0"/>
      <w:divBdr>
        <w:top w:val="none" w:sz="0" w:space="0" w:color="auto"/>
        <w:left w:val="none" w:sz="0" w:space="0" w:color="auto"/>
        <w:bottom w:val="none" w:sz="0" w:space="0" w:color="auto"/>
        <w:right w:val="none" w:sz="0" w:space="0" w:color="auto"/>
      </w:divBdr>
    </w:div>
    <w:div w:id="722631705">
      <w:bodyDiv w:val="1"/>
      <w:marLeft w:val="0"/>
      <w:marRight w:val="0"/>
      <w:marTop w:val="0"/>
      <w:marBottom w:val="0"/>
      <w:divBdr>
        <w:top w:val="none" w:sz="0" w:space="0" w:color="auto"/>
        <w:left w:val="none" w:sz="0" w:space="0" w:color="auto"/>
        <w:bottom w:val="none" w:sz="0" w:space="0" w:color="auto"/>
        <w:right w:val="none" w:sz="0" w:space="0" w:color="auto"/>
      </w:divBdr>
    </w:div>
    <w:div w:id="730732299">
      <w:bodyDiv w:val="1"/>
      <w:marLeft w:val="0"/>
      <w:marRight w:val="0"/>
      <w:marTop w:val="0"/>
      <w:marBottom w:val="0"/>
      <w:divBdr>
        <w:top w:val="none" w:sz="0" w:space="0" w:color="auto"/>
        <w:left w:val="none" w:sz="0" w:space="0" w:color="auto"/>
        <w:bottom w:val="none" w:sz="0" w:space="0" w:color="auto"/>
        <w:right w:val="none" w:sz="0" w:space="0" w:color="auto"/>
      </w:divBdr>
    </w:div>
    <w:div w:id="841622296">
      <w:bodyDiv w:val="1"/>
      <w:marLeft w:val="0"/>
      <w:marRight w:val="0"/>
      <w:marTop w:val="0"/>
      <w:marBottom w:val="0"/>
      <w:divBdr>
        <w:top w:val="none" w:sz="0" w:space="0" w:color="auto"/>
        <w:left w:val="none" w:sz="0" w:space="0" w:color="auto"/>
        <w:bottom w:val="none" w:sz="0" w:space="0" w:color="auto"/>
        <w:right w:val="none" w:sz="0" w:space="0" w:color="auto"/>
      </w:divBdr>
    </w:div>
    <w:div w:id="873345057">
      <w:bodyDiv w:val="1"/>
      <w:marLeft w:val="0"/>
      <w:marRight w:val="0"/>
      <w:marTop w:val="0"/>
      <w:marBottom w:val="0"/>
      <w:divBdr>
        <w:top w:val="none" w:sz="0" w:space="0" w:color="auto"/>
        <w:left w:val="none" w:sz="0" w:space="0" w:color="auto"/>
        <w:bottom w:val="none" w:sz="0" w:space="0" w:color="auto"/>
        <w:right w:val="none" w:sz="0" w:space="0" w:color="auto"/>
      </w:divBdr>
    </w:div>
    <w:div w:id="980040376">
      <w:bodyDiv w:val="1"/>
      <w:marLeft w:val="0"/>
      <w:marRight w:val="0"/>
      <w:marTop w:val="0"/>
      <w:marBottom w:val="0"/>
      <w:divBdr>
        <w:top w:val="none" w:sz="0" w:space="0" w:color="auto"/>
        <w:left w:val="none" w:sz="0" w:space="0" w:color="auto"/>
        <w:bottom w:val="none" w:sz="0" w:space="0" w:color="auto"/>
        <w:right w:val="none" w:sz="0" w:space="0" w:color="auto"/>
      </w:divBdr>
    </w:div>
    <w:div w:id="1105855113">
      <w:bodyDiv w:val="1"/>
      <w:marLeft w:val="0"/>
      <w:marRight w:val="0"/>
      <w:marTop w:val="0"/>
      <w:marBottom w:val="0"/>
      <w:divBdr>
        <w:top w:val="none" w:sz="0" w:space="0" w:color="auto"/>
        <w:left w:val="none" w:sz="0" w:space="0" w:color="auto"/>
        <w:bottom w:val="none" w:sz="0" w:space="0" w:color="auto"/>
        <w:right w:val="none" w:sz="0" w:space="0" w:color="auto"/>
      </w:divBdr>
    </w:div>
    <w:div w:id="1241014890">
      <w:bodyDiv w:val="1"/>
      <w:marLeft w:val="0"/>
      <w:marRight w:val="0"/>
      <w:marTop w:val="0"/>
      <w:marBottom w:val="0"/>
      <w:divBdr>
        <w:top w:val="none" w:sz="0" w:space="0" w:color="auto"/>
        <w:left w:val="none" w:sz="0" w:space="0" w:color="auto"/>
        <w:bottom w:val="none" w:sz="0" w:space="0" w:color="auto"/>
        <w:right w:val="none" w:sz="0" w:space="0" w:color="auto"/>
      </w:divBdr>
    </w:div>
    <w:div w:id="1311520442">
      <w:bodyDiv w:val="1"/>
      <w:marLeft w:val="0"/>
      <w:marRight w:val="0"/>
      <w:marTop w:val="0"/>
      <w:marBottom w:val="0"/>
      <w:divBdr>
        <w:top w:val="none" w:sz="0" w:space="0" w:color="auto"/>
        <w:left w:val="none" w:sz="0" w:space="0" w:color="auto"/>
        <w:bottom w:val="none" w:sz="0" w:space="0" w:color="auto"/>
        <w:right w:val="none" w:sz="0" w:space="0" w:color="auto"/>
      </w:divBdr>
    </w:div>
    <w:div w:id="1445611971">
      <w:bodyDiv w:val="1"/>
      <w:marLeft w:val="0"/>
      <w:marRight w:val="0"/>
      <w:marTop w:val="0"/>
      <w:marBottom w:val="0"/>
      <w:divBdr>
        <w:top w:val="none" w:sz="0" w:space="0" w:color="auto"/>
        <w:left w:val="none" w:sz="0" w:space="0" w:color="auto"/>
        <w:bottom w:val="none" w:sz="0" w:space="0" w:color="auto"/>
        <w:right w:val="none" w:sz="0" w:space="0" w:color="auto"/>
      </w:divBdr>
    </w:div>
    <w:div w:id="1478838155">
      <w:bodyDiv w:val="1"/>
      <w:marLeft w:val="0"/>
      <w:marRight w:val="0"/>
      <w:marTop w:val="0"/>
      <w:marBottom w:val="0"/>
      <w:divBdr>
        <w:top w:val="none" w:sz="0" w:space="0" w:color="auto"/>
        <w:left w:val="none" w:sz="0" w:space="0" w:color="auto"/>
        <w:bottom w:val="none" w:sz="0" w:space="0" w:color="auto"/>
        <w:right w:val="none" w:sz="0" w:space="0" w:color="auto"/>
      </w:divBdr>
    </w:div>
    <w:div w:id="1522275610">
      <w:bodyDiv w:val="1"/>
      <w:marLeft w:val="0"/>
      <w:marRight w:val="0"/>
      <w:marTop w:val="0"/>
      <w:marBottom w:val="0"/>
      <w:divBdr>
        <w:top w:val="none" w:sz="0" w:space="0" w:color="auto"/>
        <w:left w:val="none" w:sz="0" w:space="0" w:color="auto"/>
        <w:bottom w:val="none" w:sz="0" w:space="0" w:color="auto"/>
        <w:right w:val="none" w:sz="0" w:space="0" w:color="auto"/>
      </w:divBdr>
    </w:div>
    <w:div w:id="1566600667">
      <w:bodyDiv w:val="1"/>
      <w:marLeft w:val="0"/>
      <w:marRight w:val="0"/>
      <w:marTop w:val="0"/>
      <w:marBottom w:val="0"/>
      <w:divBdr>
        <w:top w:val="none" w:sz="0" w:space="0" w:color="auto"/>
        <w:left w:val="none" w:sz="0" w:space="0" w:color="auto"/>
        <w:bottom w:val="none" w:sz="0" w:space="0" w:color="auto"/>
        <w:right w:val="none" w:sz="0" w:space="0" w:color="auto"/>
      </w:divBdr>
    </w:div>
    <w:div w:id="1615210848">
      <w:bodyDiv w:val="1"/>
      <w:marLeft w:val="0"/>
      <w:marRight w:val="0"/>
      <w:marTop w:val="0"/>
      <w:marBottom w:val="0"/>
      <w:divBdr>
        <w:top w:val="none" w:sz="0" w:space="0" w:color="auto"/>
        <w:left w:val="none" w:sz="0" w:space="0" w:color="auto"/>
        <w:bottom w:val="none" w:sz="0" w:space="0" w:color="auto"/>
        <w:right w:val="none" w:sz="0" w:space="0" w:color="auto"/>
      </w:divBdr>
    </w:div>
    <w:div w:id="2023891437">
      <w:bodyDiv w:val="1"/>
      <w:marLeft w:val="0"/>
      <w:marRight w:val="0"/>
      <w:marTop w:val="0"/>
      <w:marBottom w:val="0"/>
      <w:divBdr>
        <w:top w:val="none" w:sz="0" w:space="0" w:color="auto"/>
        <w:left w:val="none" w:sz="0" w:space="0" w:color="auto"/>
        <w:bottom w:val="none" w:sz="0" w:space="0" w:color="auto"/>
        <w:right w:val="none" w:sz="0" w:space="0" w:color="auto"/>
      </w:divBdr>
    </w:div>
    <w:div w:id="2035113383">
      <w:bodyDiv w:val="1"/>
      <w:marLeft w:val="0"/>
      <w:marRight w:val="0"/>
      <w:marTop w:val="0"/>
      <w:marBottom w:val="0"/>
      <w:divBdr>
        <w:top w:val="none" w:sz="0" w:space="0" w:color="auto"/>
        <w:left w:val="none" w:sz="0" w:space="0" w:color="auto"/>
        <w:bottom w:val="none" w:sz="0" w:space="0" w:color="auto"/>
        <w:right w:val="none" w:sz="0" w:space="0" w:color="auto"/>
      </w:divBdr>
    </w:div>
    <w:div w:id="206282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1C124DEDA69E9741A93FEE8CEDDD8130" ma:contentTypeVersion="29" ma:contentTypeDescription="DEDJTR Document" ma:contentTypeScope="" ma:versionID="c62ccc16d1defa3e2e3d23a9469e44bc">
  <xsd:schema xmlns:xsd="http://www.w3.org/2001/XMLSchema" xmlns:xs="http://www.w3.org/2001/XMLSchema" xmlns:p="http://schemas.microsoft.com/office/2006/metadata/properties" xmlns:ns2="1970f3ff-c7c3-4b73-8f0c-0bc260d159f3" xmlns:ns3="620eb5da-c6d3-451c-9903-f568d8f02820" xmlns:ns4="029c08ca-17ba-47d3-a4d3-5c72257ad7c4" targetNamespace="http://schemas.microsoft.com/office/2006/metadata/properties" ma:root="true" ma:fieldsID="ac40016c9f0656421e16f24990aa5977" ns2:_="" ns3:_="" ns4:_="">
    <xsd:import namespace="1970f3ff-c7c3-4b73-8f0c-0bc260d159f3"/>
    <xsd:import namespace="620eb5da-c6d3-451c-9903-f568d8f02820"/>
    <xsd:import namespace="029c08ca-17ba-47d3-a4d3-5c72257ad7c4"/>
    <xsd:element name="properties">
      <xsd:complexType>
        <xsd:sequence>
          <xsd:element name="documentManagement">
            <xsd:complexType>
              <xsd:all>
                <xsd:element ref="ns2:g46a9f61d38540a784cfecbd3da27bca" minOccurs="0"/>
                <xsd:element ref="ns3:TaxCatchAll" minOccurs="0"/>
                <xsd:element ref="ns3:TaxCatchAllLabel" minOccurs="0"/>
                <xsd:element ref="ns2:b4605c5f9d584382a57fb8476d85f713" minOccurs="0"/>
                <xsd:element ref="ns2:p31afe295eb448f092f13ab8c2af2c33" minOccurs="0"/>
                <xsd:element ref="ns2:hcae176ec3a54dbeadeeec1b38baec58" minOccurs="0"/>
                <xsd:element ref="ns2:lf5681727d5b4cc1a5c417fcf66e2a7b" minOccurs="0"/>
                <xsd:element ref="ns4:MediaServiceMetadata" minOccurs="0"/>
                <xsd:element ref="ns4:MediaServiceFastMetadata"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0f3ff-c7c3-4b73-8f0c-0bc260d159f3" elementFormDefault="qualified">
    <xsd:import namespace="http://schemas.microsoft.com/office/2006/documentManagement/types"/>
    <xsd:import namespace="http://schemas.microsoft.com/office/infopath/2007/PartnerControls"/>
    <xsd:element name="g46a9f61d38540a784cfecbd3da27bca" ma:index="8" nillable="true" ma:taxonomy="true" ma:internalName="g46a9f61d38540a784cfecbd3da27bca" ma:taxonomyFieldName="DEDJTRGroup" ma:displayName="Group" ma:indexed="true" ma:fieldId="{046a9f61-d385-40a7-84cf-ecbd3da27bca}"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4605c5f9d584382a57fb8476d85f713" ma:index="12" nillable="true" ma:taxonomy="true" ma:internalName="b4605c5f9d584382a57fb8476d85f713" ma:taxonomyFieldName="DEDJTRDivision" ma:displayName="Division" ma:indexed="true" ma:fieldId="{b4605c5f-9d58-4382-a57f-b8476d85f71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p31afe295eb448f092f13ab8c2af2c33" ma:index="14" nillable="true" ma:taxonomy="true" ma:internalName="p31afe295eb448f092f13ab8c2af2c33" ma:taxonomyFieldName="DEDJTRBranch" ma:displayName="Branch" ma:indexed="true" ma:fieldId="{931afe29-5eb4-48f0-92f1-3ab8c2af2c3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hcae176ec3a54dbeadeeec1b38baec58" ma:index="16" nillable="true" ma:taxonomy="true" ma:internalName="hcae176ec3a54dbeadeeec1b38baec58" ma:taxonomyFieldName="DEDJTRSection" ma:displayName="Section" ma:indexed="true" ma:fieldId="{1cae176e-c3a5-4dbe-adee-ec1b38baec58}"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lf5681727d5b4cc1a5c417fcf66e2a7b" ma:index="18" nillable="true" ma:taxonomy="true" ma:internalName="lf5681727d5b4cc1a5c417fcf66e2a7b" ma:taxonomyFieldName="DEDJTRSecurityClassification" ma:displayName="Security Classification" ma:fieldId="{5f568172-7d5b-4cc1-a5c4-17fcf66e2a7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20eb5da-c6d3-451c-9903-f568d8f02820"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a190c1d-006d-4a7f-81da-7ce67af7bc86}" ma:internalName="TaxCatchAll" ma:showField="CatchAllData" ma:web="620eb5da-c6d3-451c-9903-f568d8f0282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a190c1d-006d-4a7f-81da-7ce67af7bc86}" ma:internalName="TaxCatchAllLabel" ma:readOnly="true" ma:showField="CatchAllDataLabel" ma:web="620eb5da-c6d3-451c-9903-f568d8f0282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9c08ca-17ba-47d3-a4d3-5c72257ad7c4"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4" nillable="true" ma:displayName="Tags" ma:internalName="MediaServiceAutoTags"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LengthInSeconds" ma:index="32" nillable="true" ma:displayName="MediaLengthInSeconds" ma:hidden="true"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cae176ec3a54dbeadeeec1b38baec58 xmlns="1970f3ff-c7c3-4b73-8f0c-0bc260d159f3">
      <Terms xmlns="http://schemas.microsoft.com/office/infopath/2007/PartnerControls"/>
    </hcae176ec3a54dbeadeeec1b38baec58>
    <p31afe295eb448f092f13ab8c2af2c33 xmlns="1970f3ff-c7c3-4b73-8f0c-0bc260d159f3">
      <Terms xmlns="http://schemas.microsoft.com/office/infopath/2007/PartnerControls"/>
    </p31afe295eb448f092f13ab8c2af2c33>
    <TaxCatchAll xmlns="620eb5da-c6d3-451c-9903-f568d8f02820" xsi:nil="true"/>
    <lf5681727d5b4cc1a5c417fcf66e2a7b xmlns="1970f3ff-c7c3-4b73-8f0c-0bc260d159f3">
      <Terms xmlns="http://schemas.microsoft.com/office/infopath/2007/PartnerControls"/>
    </lf5681727d5b4cc1a5c417fcf66e2a7b>
    <b4605c5f9d584382a57fb8476d85f713 xmlns="1970f3ff-c7c3-4b73-8f0c-0bc260d159f3">
      <Terms xmlns="http://schemas.microsoft.com/office/infopath/2007/PartnerControls"/>
    </b4605c5f9d584382a57fb8476d85f713>
    <lcf76f155ced4ddcb4097134ff3c332f xmlns="029c08ca-17ba-47d3-a4d3-5c72257ad7c4">
      <Terms xmlns="http://schemas.microsoft.com/office/infopath/2007/PartnerControls"/>
    </lcf76f155ced4ddcb4097134ff3c332f>
    <g46a9f61d38540a784cfecbd3da27bca xmlns="1970f3ff-c7c3-4b73-8f0c-0bc260d159f3">
      <Terms xmlns="http://schemas.microsoft.com/office/infopath/2007/PartnerControls"/>
    </g46a9f61d38540a784cfecbd3da27bca>
    <SharedWithUsers xmlns="620eb5da-c6d3-451c-9903-f568d8f02820">
      <UserInfo>
        <DisplayName>Darcy O Osborne (DJSIR)</DisplayName>
        <AccountId>1379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C823B-4FA3-4F80-A68A-FCD8531F2E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70f3ff-c7c3-4b73-8f0c-0bc260d159f3"/>
    <ds:schemaRef ds:uri="620eb5da-c6d3-451c-9903-f568d8f02820"/>
    <ds:schemaRef ds:uri="029c08ca-17ba-47d3-a4d3-5c72257ad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2152BC-B96A-4DA2-B063-D2549209999D}">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029c08ca-17ba-47d3-a4d3-5c72257ad7c4"/>
    <ds:schemaRef ds:uri="620eb5da-c6d3-451c-9903-f568d8f02820"/>
    <ds:schemaRef ds:uri="http://purl.org/dc/terms/"/>
    <ds:schemaRef ds:uri="1970f3ff-c7c3-4b73-8f0c-0bc260d159f3"/>
    <ds:schemaRef ds:uri="http://www.w3.org/XML/1998/namespace"/>
    <ds:schemaRef ds:uri="http://purl.org/dc/dcmitype/"/>
  </ds:schemaRefs>
</ds:datastoreItem>
</file>

<file path=customXml/itemProps3.xml><?xml version="1.0" encoding="utf-8"?>
<ds:datastoreItem xmlns:ds="http://schemas.openxmlformats.org/officeDocument/2006/customXml" ds:itemID="{B6C18351-E4F6-458C-8CAD-F05FAB72B3C0}">
  <ds:schemaRefs>
    <ds:schemaRef ds:uri="http://schemas.microsoft.com/sharepoint/v3/contenttype/forms"/>
  </ds:schemaRefs>
</ds:datastoreItem>
</file>

<file path=customXml/itemProps4.xml><?xml version="1.0" encoding="utf-8"?>
<ds:datastoreItem xmlns:ds="http://schemas.openxmlformats.org/officeDocument/2006/customXml" ds:itemID="{784C3AB7-DF65-4096-A870-CA81358E1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3</Pages>
  <Words>444</Words>
  <Characters>2535</Characters>
  <Application>Microsoft Office Word</Application>
  <DocSecurity>0</DocSecurity>
  <Lines>21</Lines>
  <Paragraphs>5</Paragraphs>
  <ScaleCrop>false</ScaleCrop>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 S Sihombing (DJSIR)</dc:creator>
  <cp:keywords/>
  <dc:description/>
  <cp:lastModifiedBy>Rui S Sihombing (DJSIR)</cp:lastModifiedBy>
  <cp:revision>93</cp:revision>
  <dcterms:created xsi:type="dcterms:W3CDTF">2023-10-06T00:54:00Z</dcterms:created>
  <dcterms:modified xsi:type="dcterms:W3CDTF">2023-10-25T04:44:00Z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0x010100611F6414DFB111E7BA88F9DF1743E317001C124DEDA69E9741A93FEE8CEDDD8130</vt:lpwstr>
  </property>
  <property fmtid="{D5CDD505-2E9C-101B-9397-08002B2CF9AE}" pid="3" name="MSIP_Label_d00a4df9-c942-4b09-b23a-6c1023f6de27_Enabled">
    <vt:lpwstr>true</vt:lpwstr>
  </property>
  <property fmtid="{D5CDD505-2E9C-101B-9397-08002B2CF9AE}" pid="4" name="MSIP_Label_d00a4df9-c942-4b09-b23a-6c1023f6de27_SetDate">
    <vt:lpwstr>2023-10-06T01:02:29Z</vt:lpwstr>
  </property>
  <property fmtid="{D5CDD505-2E9C-101B-9397-08002B2CF9AE}" pid="5" name="MSIP_Label_d00a4df9-c942-4b09-b23a-6c1023f6de27_Method">
    <vt:lpwstr>Privileged</vt:lpwstr>
  </property>
  <property fmtid="{D5CDD505-2E9C-101B-9397-08002B2CF9AE}" pid="6" name="MSIP_Label_d00a4df9-c942-4b09-b23a-6c1023f6de27_Name">
    <vt:lpwstr>Official (DJPR)</vt:lpwstr>
  </property>
  <property fmtid="{D5CDD505-2E9C-101B-9397-08002B2CF9AE}" pid="7" name="MSIP_Label_d00a4df9-c942-4b09-b23a-6c1023f6de27_SiteId">
    <vt:lpwstr>722ea0be-3e1c-4b11-ad6f-9401d6856e24</vt:lpwstr>
  </property>
  <property fmtid="{D5CDD505-2E9C-101B-9397-08002B2CF9AE}" pid="8" name="MSIP_Label_d00a4df9-c942-4b09-b23a-6c1023f6de27_ActionId">
    <vt:lpwstr>2b686eac-47fc-49b3-82b4-5ed2079b22ea</vt:lpwstr>
  </property>
  <property fmtid="{D5CDD505-2E9C-101B-9397-08002B2CF9AE}" pid="9" name="MSIP_Label_d00a4df9-c942-4b09-b23a-6c1023f6de27_ContentBits">
    <vt:lpwstr>3</vt:lpwstr>
  </property>
  <property fmtid="{D5CDD505-2E9C-101B-9397-08002B2CF9AE}" pid="10" name="MediaServiceImageTags">
    <vt:lpwstr/>
  </property>
  <property fmtid="{D5CDD505-2E9C-101B-9397-08002B2CF9AE}" pid="11" name="DEDJTRSection">
    <vt:lpwstr/>
  </property>
  <property fmtid="{D5CDD505-2E9C-101B-9397-08002B2CF9AE}" pid="12" name="DEDJTRGroup">
    <vt:lpwstr/>
  </property>
  <property fmtid="{D5CDD505-2E9C-101B-9397-08002B2CF9AE}" pid="13" name="DEDJTRSecurityClassification">
    <vt:lpwstr/>
  </property>
  <property fmtid="{D5CDD505-2E9C-101B-9397-08002B2CF9AE}" pid="14" name="DEDJTRDivision">
    <vt:lpwstr/>
  </property>
  <property fmtid="{D5CDD505-2E9C-101B-9397-08002B2CF9AE}" pid="15" name="DEDJTRBranch">
    <vt:lpwstr/>
  </property>
</Properties>
</file>